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8C4" w:rsidRPr="003A613E" w:rsidRDefault="00FB58C4" w:rsidP="00DD446F">
      <w:pPr>
        <w:ind w:left="708" w:hanging="708"/>
        <w:jc w:val="center"/>
        <w:rPr>
          <w:rFonts w:ascii="Cambria" w:hAnsi="Cambria"/>
          <w:b/>
          <w:sz w:val="20"/>
          <w:szCs w:val="20"/>
        </w:rPr>
      </w:pPr>
      <w:r w:rsidRPr="003A613E">
        <w:rPr>
          <w:rFonts w:ascii="Cambria" w:hAnsi="Cambria"/>
          <w:sz w:val="20"/>
          <w:szCs w:val="20"/>
        </w:rPr>
        <w:t>ACTA DE ENTREGA RECEPCIÓN DE DOMINIO DE BIENES MUEBLES BAJO LA FIGURA DE “TRANSFERENCIA GRATUITA</w:t>
      </w:r>
      <w:r w:rsidR="00DD446F" w:rsidRPr="003A613E">
        <w:rPr>
          <w:rFonts w:ascii="Cambria" w:hAnsi="Cambria"/>
          <w:sz w:val="20"/>
          <w:szCs w:val="20"/>
        </w:rPr>
        <w:t xml:space="preserve"> y/o TRASPASO</w:t>
      </w:r>
      <w:r w:rsidRPr="003A613E">
        <w:rPr>
          <w:rFonts w:ascii="Cambria" w:hAnsi="Cambria"/>
          <w:sz w:val="20"/>
          <w:szCs w:val="20"/>
        </w:rPr>
        <w:t>” ENTRE EL MINISTERIO DE ECONOMÍA Y FINANZAS Y</w:t>
      </w:r>
      <w:r w:rsidRPr="003A613E">
        <w:rPr>
          <w:rFonts w:ascii="Cambria" w:hAnsi="Cambria"/>
          <w:b/>
          <w:sz w:val="20"/>
          <w:szCs w:val="20"/>
        </w:rPr>
        <w:t xml:space="preserve"> </w:t>
      </w:r>
      <w:r w:rsidR="00A431CA" w:rsidRPr="00A431CA">
        <w:rPr>
          <w:rFonts w:ascii="Cambria" w:hAnsi="Cambria"/>
          <w:sz w:val="20"/>
          <w:szCs w:val="20"/>
        </w:rPr>
        <w:t xml:space="preserve">LA </w:t>
      </w:r>
      <w:r w:rsidR="00A937B2" w:rsidRPr="00442AF0">
        <w:rPr>
          <w:rFonts w:ascii="Cambria" w:eastAsia="Cambria" w:hAnsi="Cambria" w:cs="Cambria"/>
          <w:color w:val="000000"/>
          <w:sz w:val="22"/>
          <w:szCs w:val="22"/>
          <w:lang w:eastAsia="es-EC"/>
        </w:rPr>
        <w:t>(</w:t>
      </w:r>
      <w:r w:rsidR="00A937B2" w:rsidRPr="00442AF0">
        <w:rPr>
          <w:rFonts w:ascii="Cambria" w:eastAsia="Cambria" w:hAnsi="Cambria" w:cs="Cambria"/>
          <w:b/>
          <w:color w:val="000000"/>
          <w:sz w:val="22"/>
          <w:szCs w:val="22"/>
          <w:lang w:eastAsia="es-EC"/>
        </w:rPr>
        <w:t>colocar razón social de la entidad como consta en el RUC)</w:t>
      </w:r>
      <w:r w:rsidR="00A937B2" w:rsidRPr="00442AF0">
        <w:rPr>
          <w:rFonts w:ascii="Cambria" w:eastAsia="Cambria" w:hAnsi="Cambria" w:cs="Cambria"/>
          <w:color w:val="000000"/>
          <w:sz w:val="22"/>
          <w:szCs w:val="22"/>
          <w:lang w:eastAsia="es-EC"/>
        </w:rPr>
        <w:t xml:space="preserve"> y</w:t>
      </w:r>
      <w:r w:rsidR="00A937B2" w:rsidRPr="00442AF0">
        <w:rPr>
          <w:rFonts w:ascii="Cambria" w:eastAsia="Cambria" w:hAnsi="Cambria" w:cs="Cambria"/>
          <w:b/>
          <w:color w:val="000000"/>
          <w:sz w:val="22"/>
          <w:szCs w:val="22"/>
          <w:lang w:eastAsia="es-EC"/>
        </w:rPr>
        <w:t xml:space="preserve"> (colocar el código de la entidad EOD/UDAF)</w:t>
      </w:r>
      <w:r w:rsidR="00A431CA">
        <w:rPr>
          <w:rFonts w:ascii="Cambria" w:hAnsi="Cambria"/>
          <w:sz w:val="20"/>
          <w:szCs w:val="20"/>
        </w:rPr>
        <w:t>.</w:t>
      </w:r>
    </w:p>
    <w:p w:rsidR="007B2AC7" w:rsidRPr="003A613E" w:rsidRDefault="007B2AC7" w:rsidP="00346074">
      <w:pPr>
        <w:spacing w:line="360" w:lineRule="auto"/>
        <w:ind w:right="81"/>
        <w:jc w:val="both"/>
        <w:rPr>
          <w:rFonts w:ascii="Cambria" w:hAnsi="Cambria"/>
          <w:sz w:val="22"/>
          <w:szCs w:val="22"/>
        </w:rPr>
      </w:pPr>
    </w:p>
    <w:p w:rsidR="00FB58C4" w:rsidRPr="003A613E" w:rsidRDefault="00FB58C4" w:rsidP="00346074">
      <w:pPr>
        <w:spacing w:line="360" w:lineRule="auto"/>
        <w:ind w:right="81"/>
        <w:jc w:val="both"/>
        <w:rPr>
          <w:rFonts w:ascii="Cambria" w:hAnsi="Cambria"/>
          <w:b/>
          <w:sz w:val="22"/>
          <w:szCs w:val="22"/>
        </w:rPr>
      </w:pPr>
      <w:r w:rsidRPr="003A613E">
        <w:rPr>
          <w:rFonts w:ascii="Cambria" w:hAnsi="Cambria"/>
          <w:b/>
          <w:sz w:val="22"/>
          <w:szCs w:val="22"/>
        </w:rPr>
        <w:t>COMPARECIENTES:</w:t>
      </w:r>
    </w:p>
    <w:p w:rsidR="00FB58C4" w:rsidRPr="003A613E" w:rsidRDefault="00BC02E8" w:rsidP="0011668F">
      <w:pPr>
        <w:autoSpaceDE w:val="0"/>
        <w:autoSpaceDN w:val="0"/>
        <w:adjustRightInd w:val="0"/>
        <w:spacing w:line="276" w:lineRule="auto"/>
        <w:jc w:val="both"/>
        <w:rPr>
          <w:rFonts w:ascii="Cambria" w:eastAsia="Cambria" w:hAnsi="Cambria" w:cs="Cambria"/>
          <w:color w:val="000000"/>
          <w:sz w:val="22"/>
          <w:szCs w:val="22"/>
          <w:lang w:eastAsia="es-EC"/>
        </w:rPr>
      </w:pPr>
      <w:r w:rsidRPr="003A613E">
        <w:rPr>
          <w:rFonts w:ascii="Cambria" w:eastAsia="Cambria" w:hAnsi="Cambria" w:cs="Cambria"/>
          <w:color w:val="000000"/>
          <w:sz w:val="22"/>
          <w:szCs w:val="22"/>
          <w:lang w:eastAsia="es-EC"/>
        </w:rPr>
        <w:t xml:space="preserve">Comparecen por parte del Ministerio de Economía y Finanzas, </w:t>
      </w:r>
      <w:r w:rsidRPr="003D192A">
        <w:rPr>
          <w:rFonts w:ascii="Cambria" w:eastAsia="Cambria" w:hAnsi="Cambria" w:cs="Cambria"/>
          <w:b/>
          <w:color w:val="000000"/>
          <w:sz w:val="22"/>
          <w:szCs w:val="22"/>
          <w:lang w:eastAsia="es-EC"/>
        </w:rPr>
        <w:t>Ing.</w:t>
      </w:r>
      <w:r>
        <w:rPr>
          <w:rFonts w:ascii="Cambria" w:eastAsia="Cambria" w:hAnsi="Cambria" w:cs="Cambria"/>
          <w:color w:val="000000"/>
          <w:sz w:val="22"/>
          <w:szCs w:val="22"/>
          <w:lang w:eastAsia="es-EC"/>
        </w:rPr>
        <w:t xml:space="preserve"> </w:t>
      </w:r>
      <w:r w:rsidRPr="003D192A">
        <w:rPr>
          <w:rFonts w:ascii="Cambria" w:eastAsia="Cambria" w:hAnsi="Cambria" w:cs="Cambria"/>
          <w:b/>
          <w:spacing w:val="-2"/>
          <w:sz w:val="22"/>
          <w:szCs w:val="22"/>
        </w:rPr>
        <w:t>Luz Marina Rumazo Contreras</w:t>
      </w:r>
      <w:r w:rsidRPr="0078112E">
        <w:rPr>
          <w:rFonts w:ascii="Cambria" w:eastAsia="Cambria" w:hAnsi="Cambria" w:cs="Cambria"/>
          <w:spacing w:val="-2"/>
          <w:sz w:val="22"/>
          <w:szCs w:val="22"/>
        </w:rPr>
        <w:t xml:space="preserve"> </w:t>
      </w:r>
      <w:r w:rsidRPr="009D7990">
        <w:rPr>
          <w:rFonts w:ascii="Cambria" w:eastAsia="Cambria" w:hAnsi="Cambria" w:cs="Cambria"/>
          <w:sz w:val="22"/>
          <w:szCs w:val="22"/>
        </w:rPr>
        <w:t>en</w:t>
      </w:r>
      <w:r w:rsidRPr="009D7990">
        <w:rPr>
          <w:rFonts w:ascii="Cambria" w:eastAsia="Cambria" w:hAnsi="Cambria" w:cs="Cambria"/>
          <w:spacing w:val="1"/>
          <w:sz w:val="22"/>
          <w:szCs w:val="22"/>
        </w:rPr>
        <w:t xml:space="preserve"> </w:t>
      </w:r>
      <w:r w:rsidRPr="009D7990">
        <w:rPr>
          <w:rFonts w:ascii="Cambria" w:eastAsia="Cambria" w:hAnsi="Cambria" w:cs="Cambria"/>
          <w:spacing w:val="-1"/>
          <w:sz w:val="22"/>
          <w:szCs w:val="22"/>
        </w:rPr>
        <w:t>s</w:t>
      </w:r>
      <w:r w:rsidRPr="009D7990">
        <w:rPr>
          <w:rFonts w:ascii="Cambria" w:eastAsia="Cambria" w:hAnsi="Cambria" w:cs="Cambria"/>
          <w:sz w:val="22"/>
          <w:szCs w:val="22"/>
        </w:rPr>
        <w:t>u</w:t>
      </w:r>
      <w:r w:rsidRPr="009D7990">
        <w:rPr>
          <w:rFonts w:ascii="Cambria" w:eastAsia="Cambria" w:hAnsi="Cambria" w:cs="Cambria"/>
          <w:spacing w:val="3"/>
          <w:sz w:val="22"/>
          <w:szCs w:val="22"/>
        </w:rPr>
        <w:t xml:space="preserve"> </w:t>
      </w:r>
      <w:r w:rsidRPr="009D7990">
        <w:rPr>
          <w:rFonts w:ascii="Cambria" w:eastAsia="Cambria" w:hAnsi="Cambria" w:cs="Cambria"/>
          <w:spacing w:val="1"/>
          <w:sz w:val="22"/>
          <w:szCs w:val="22"/>
        </w:rPr>
        <w:t>c</w:t>
      </w:r>
      <w:r w:rsidRPr="009D7990">
        <w:rPr>
          <w:rFonts w:ascii="Cambria" w:eastAsia="Cambria" w:hAnsi="Cambria" w:cs="Cambria"/>
          <w:sz w:val="22"/>
          <w:szCs w:val="22"/>
        </w:rPr>
        <w:t>a</w:t>
      </w:r>
      <w:r w:rsidRPr="009D7990">
        <w:rPr>
          <w:rFonts w:ascii="Cambria" w:eastAsia="Cambria" w:hAnsi="Cambria" w:cs="Cambria"/>
          <w:spacing w:val="-2"/>
          <w:sz w:val="22"/>
          <w:szCs w:val="22"/>
        </w:rPr>
        <w:t>l</w:t>
      </w:r>
      <w:r w:rsidRPr="009D7990">
        <w:rPr>
          <w:rFonts w:ascii="Cambria" w:eastAsia="Cambria" w:hAnsi="Cambria" w:cs="Cambria"/>
          <w:spacing w:val="1"/>
          <w:sz w:val="22"/>
          <w:szCs w:val="22"/>
        </w:rPr>
        <w:t>i</w:t>
      </w:r>
      <w:r w:rsidRPr="009D7990">
        <w:rPr>
          <w:rFonts w:ascii="Cambria" w:eastAsia="Cambria" w:hAnsi="Cambria" w:cs="Cambria"/>
          <w:sz w:val="22"/>
          <w:szCs w:val="22"/>
        </w:rPr>
        <w:t>dad de</w:t>
      </w:r>
      <w:r w:rsidRPr="009D7990">
        <w:rPr>
          <w:rFonts w:ascii="Cambria" w:eastAsia="Cambria" w:hAnsi="Cambria" w:cs="Cambria"/>
          <w:spacing w:val="2"/>
          <w:sz w:val="22"/>
          <w:szCs w:val="22"/>
        </w:rPr>
        <w:t xml:space="preserve"> </w:t>
      </w:r>
      <w:r w:rsidRPr="009D7990">
        <w:rPr>
          <w:rFonts w:ascii="Cambria" w:eastAsia="Cambria" w:hAnsi="Cambria" w:cs="Cambria"/>
          <w:spacing w:val="-2"/>
          <w:sz w:val="22"/>
          <w:szCs w:val="22"/>
        </w:rPr>
        <w:t>C</w:t>
      </w:r>
      <w:r w:rsidRPr="009D7990">
        <w:rPr>
          <w:rFonts w:ascii="Cambria" w:eastAsia="Cambria" w:hAnsi="Cambria" w:cs="Cambria"/>
          <w:sz w:val="22"/>
          <w:szCs w:val="22"/>
        </w:rPr>
        <w:t>o</w:t>
      </w:r>
      <w:r w:rsidRPr="009D7990">
        <w:rPr>
          <w:rFonts w:ascii="Cambria" w:eastAsia="Cambria" w:hAnsi="Cambria" w:cs="Cambria"/>
          <w:spacing w:val="1"/>
          <w:sz w:val="22"/>
          <w:szCs w:val="22"/>
        </w:rPr>
        <w:t>o</w:t>
      </w:r>
      <w:r w:rsidRPr="009D7990">
        <w:rPr>
          <w:rFonts w:ascii="Cambria" w:eastAsia="Cambria" w:hAnsi="Cambria" w:cs="Cambria"/>
          <w:sz w:val="22"/>
          <w:szCs w:val="22"/>
        </w:rPr>
        <w:t>r</w:t>
      </w:r>
      <w:r w:rsidRPr="009D7990">
        <w:rPr>
          <w:rFonts w:ascii="Cambria" w:eastAsia="Cambria" w:hAnsi="Cambria" w:cs="Cambria"/>
          <w:spacing w:val="-2"/>
          <w:sz w:val="22"/>
          <w:szCs w:val="22"/>
        </w:rPr>
        <w:t>d</w:t>
      </w:r>
      <w:r w:rsidRPr="009D7990">
        <w:rPr>
          <w:rFonts w:ascii="Cambria" w:eastAsia="Cambria" w:hAnsi="Cambria" w:cs="Cambria"/>
          <w:spacing w:val="1"/>
          <w:sz w:val="22"/>
          <w:szCs w:val="22"/>
        </w:rPr>
        <w:t>i</w:t>
      </w:r>
      <w:r w:rsidRPr="009D7990">
        <w:rPr>
          <w:rFonts w:ascii="Cambria" w:eastAsia="Cambria" w:hAnsi="Cambria" w:cs="Cambria"/>
          <w:spacing w:val="-1"/>
          <w:sz w:val="22"/>
          <w:szCs w:val="22"/>
        </w:rPr>
        <w:t>n</w:t>
      </w:r>
      <w:r w:rsidRPr="009D7990">
        <w:rPr>
          <w:rFonts w:ascii="Cambria" w:eastAsia="Cambria" w:hAnsi="Cambria" w:cs="Cambria"/>
          <w:sz w:val="22"/>
          <w:szCs w:val="22"/>
        </w:rPr>
        <w:t>a</w:t>
      </w:r>
      <w:r w:rsidRPr="009D7990">
        <w:rPr>
          <w:rFonts w:ascii="Cambria" w:eastAsia="Cambria" w:hAnsi="Cambria" w:cs="Cambria"/>
          <w:spacing w:val="-2"/>
          <w:sz w:val="22"/>
          <w:szCs w:val="22"/>
        </w:rPr>
        <w:t>d</w:t>
      </w:r>
      <w:r w:rsidRPr="009D7990">
        <w:rPr>
          <w:rFonts w:ascii="Cambria" w:eastAsia="Cambria" w:hAnsi="Cambria" w:cs="Cambria"/>
          <w:sz w:val="22"/>
          <w:szCs w:val="22"/>
        </w:rPr>
        <w:t>or</w:t>
      </w:r>
      <w:r>
        <w:rPr>
          <w:rFonts w:ascii="Cambria" w:eastAsia="Cambria" w:hAnsi="Cambria" w:cs="Cambria"/>
          <w:spacing w:val="2"/>
          <w:sz w:val="22"/>
          <w:szCs w:val="22"/>
        </w:rPr>
        <w:t xml:space="preserve">a </w:t>
      </w:r>
      <w:r w:rsidRPr="009D7990">
        <w:rPr>
          <w:rFonts w:ascii="Cambria" w:eastAsia="Cambria" w:hAnsi="Cambria" w:cs="Cambria"/>
          <w:sz w:val="22"/>
          <w:szCs w:val="22"/>
        </w:rPr>
        <w:t>Ge</w:t>
      </w:r>
      <w:r w:rsidRPr="009D7990">
        <w:rPr>
          <w:rFonts w:ascii="Cambria" w:eastAsia="Cambria" w:hAnsi="Cambria" w:cs="Cambria"/>
          <w:spacing w:val="-1"/>
          <w:sz w:val="22"/>
          <w:szCs w:val="22"/>
        </w:rPr>
        <w:t>n</w:t>
      </w:r>
      <w:r w:rsidRPr="009D7990">
        <w:rPr>
          <w:rFonts w:ascii="Cambria" w:eastAsia="Cambria" w:hAnsi="Cambria" w:cs="Cambria"/>
          <w:sz w:val="22"/>
          <w:szCs w:val="22"/>
        </w:rPr>
        <w:t>eral</w:t>
      </w:r>
      <w:r w:rsidRPr="009D7990">
        <w:rPr>
          <w:rFonts w:ascii="Cambria" w:eastAsia="Cambria" w:hAnsi="Cambria" w:cs="Cambria"/>
          <w:spacing w:val="2"/>
          <w:sz w:val="22"/>
          <w:szCs w:val="22"/>
        </w:rPr>
        <w:t xml:space="preserve"> </w:t>
      </w:r>
      <w:r w:rsidRPr="009D7990">
        <w:rPr>
          <w:rFonts w:ascii="Cambria" w:eastAsia="Cambria" w:hAnsi="Cambria" w:cs="Cambria"/>
          <w:spacing w:val="-1"/>
          <w:sz w:val="22"/>
          <w:szCs w:val="22"/>
        </w:rPr>
        <w:t>A</w:t>
      </w:r>
      <w:r w:rsidRPr="009D7990">
        <w:rPr>
          <w:rFonts w:ascii="Cambria" w:eastAsia="Cambria" w:hAnsi="Cambria" w:cs="Cambria"/>
          <w:spacing w:val="-3"/>
          <w:sz w:val="22"/>
          <w:szCs w:val="22"/>
        </w:rPr>
        <w:t>d</w:t>
      </w:r>
      <w:r w:rsidRPr="009D7990">
        <w:rPr>
          <w:rFonts w:ascii="Cambria" w:eastAsia="Cambria" w:hAnsi="Cambria" w:cs="Cambria"/>
          <w:spacing w:val="-1"/>
          <w:sz w:val="22"/>
          <w:szCs w:val="22"/>
        </w:rPr>
        <w:t>m</w:t>
      </w:r>
      <w:r w:rsidRPr="009D7990">
        <w:rPr>
          <w:rFonts w:ascii="Cambria" w:eastAsia="Cambria" w:hAnsi="Cambria" w:cs="Cambria"/>
          <w:spacing w:val="1"/>
          <w:sz w:val="22"/>
          <w:szCs w:val="22"/>
        </w:rPr>
        <w:t>i</w:t>
      </w:r>
      <w:r w:rsidRPr="009D7990">
        <w:rPr>
          <w:rFonts w:ascii="Cambria" w:eastAsia="Cambria" w:hAnsi="Cambria" w:cs="Cambria"/>
          <w:spacing w:val="-1"/>
          <w:sz w:val="22"/>
          <w:szCs w:val="22"/>
        </w:rPr>
        <w:t>ni</w:t>
      </w:r>
      <w:r w:rsidRPr="009D7990">
        <w:rPr>
          <w:rFonts w:ascii="Cambria" w:eastAsia="Cambria" w:hAnsi="Cambria" w:cs="Cambria"/>
          <w:spacing w:val="1"/>
          <w:sz w:val="22"/>
          <w:szCs w:val="22"/>
        </w:rPr>
        <w:t>s</w:t>
      </w:r>
      <w:r w:rsidRPr="009D7990">
        <w:rPr>
          <w:rFonts w:ascii="Cambria" w:eastAsia="Cambria" w:hAnsi="Cambria" w:cs="Cambria"/>
          <w:sz w:val="22"/>
          <w:szCs w:val="22"/>
        </w:rPr>
        <w:t>trat</w:t>
      </w:r>
      <w:r w:rsidRPr="009D7990">
        <w:rPr>
          <w:rFonts w:ascii="Cambria" w:eastAsia="Cambria" w:hAnsi="Cambria" w:cs="Cambria"/>
          <w:spacing w:val="-2"/>
          <w:sz w:val="22"/>
          <w:szCs w:val="22"/>
        </w:rPr>
        <w:t>i</w:t>
      </w:r>
      <w:r w:rsidRPr="009D7990">
        <w:rPr>
          <w:rFonts w:ascii="Cambria" w:eastAsia="Cambria" w:hAnsi="Cambria" w:cs="Cambria"/>
          <w:spacing w:val="-1"/>
          <w:sz w:val="22"/>
          <w:szCs w:val="22"/>
        </w:rPr>
        <w:t>v</w:t>
      </w:r>
      <w:r>
        <w:rPr>
          <w:rFonts w:ascii="Cambria" w:eastAsia="Cambria" w:hAnsi="Cambria" w:cs="Cambria"/>
          <w:spacing w:val="-1"/>
          <w:sz w:val="22"/>
          <w:szCs w:val="22"/>
        </w:rPr>
        <w:t>a</w:t>
      </w:r>
      <w:r w:rsidRPr="009D7990">
        <w:rPr>
          <w:rFonts w:ascii="Cambria" w:eastAsia="Cambria" w:hAnsi="Cambria" w:cs="Cambria"/>
          <w:spacing w:val="2"/>
          <w:sz w:val="22"/>
          <w:szCs w:val="22"/>
        </w:rPr>
        <w:t xml:space="preserve"> </w:t>
      </w:r>
      <w:r w:rsidRPr="009D7990">
        <w:rPr>
          <w:rFonts w:ascii="Cambria" w:eastAsia="Cambria" w:hAnsi="Cambria" w:cs="Cambria"/>
          <w:spacing w:val="-1"/>
          <w:sz w:val="22"/>
          <w:szCs w:val="22"/>
        </w:rPr>
        <w:t>F</w:t>
      </w:r>
      <w:r w:rsidRPr="009D7990">
        <w:rPr>
          <w:rFonts w:ascii="Cambria" w:eastAsia="Cambria" w:hAnsi="Cambria" w:cs="Cambria"/>
          <w:spacing w:val="1"/>
          <w:sz w:val="22"/>
          <w:szCs w:val="22"/>
        </w:rPr>
        <w:t>i</w:t>
      </w:r>
      <w:r w:rsidRPr="009D7990">
        <w:rPr>
          <w:rFonts w:ascii="Cambria" w:eastAsia="Cambria" w:hAnsi="Cambria" w:cs="Cambria"/>
          <w:spacing w:val="-1"/>
          <w:sz w:val="22"/>
          <w:szCs w:val="22"/>
        </w:rPr>
        <w:t>n</w:t>
      </w:r>
      <w:r w:rsidRPr="009D7990">
        <w:rPr>
          <w:rFonts w:ascii="Cambria" w:eastAsia="Cambria" w:hAnsi="Cambria" w:cs="Cambria"/>
          <w:sz w:val="22"/>
          <w:szCs w:val="22"/>
        </w:rPr>
        <w:t>an</w:t>
      </w:r>
      <w:r w:rsidRPr="009D7990">
        <w:rPr>
          <w:rFonts w:ascii="Cambria" w:eastAsia="Cambria" w:hAnsi="Cambria" w:cs="Cambria"/>
          <w:spacing w:val="-2"/>
          <w:sz w:val="22"/>
          <w:szCs w:val="22"/>
        </w:rPr>
        <w:t>c</w:t>
      </w:r>
      <w:r w:rsidRPr="009D7990">
        <w:rPr>
          <w:rFonts w:ascii="Cambria" w:eastAsia="Cambria" w:hAnsi="Cambria" w:cs="Cambria"/>
          <w:spacing w:val="1"/>
          <w:sz w:val="22"/>
          <w:szCs w:val="22"/>
        </w:rPr>
        <w:t>i</w:t>
      </w:r>
      <w:r w:rsidRPr="009D7990">
        <w:rPr>
          <w:rFonts w:ascii="Cambria" w:eastAsia="Cambria" w:hAnsi="Cambria" w:cs="Cambria"/>
          <w:sz w:val="22"/>
          <w:szCs w:val="22"/>
        </w:rPr>
        <w:t>er</w:t>
      </w:r>
      <w:r>
        <w:rPr>
          <w:rFonts w:ascii="Cambria" w:eastAsia="Cambria" w:hAnsi="Cambria" w:cs="Cambria"/>
          <w:sz w:val="22"/>
          <w:szCs w:val="22"/>
        </w:rPr>
        <w:t>a</w:t>
      </w:r>
      <w:r w:rsidRPr="003A613E">
        <w:rPr>
          <w:rFonts w:ascii="Cambria" w:eastAsia="Cambria" w:hAnsi="Cambria" w:cs="Cambria"/>
          <w:color w:val="000000"/>
          <w:sz w:val="22"/>
          <w:szCs w:val="22"/>
          <w:lang w:eastAsia="es-EC"/>
        </w:rPr>
        <w:t xml:space="preserve">, </w:t>
      </w:r>
      <w:r w:rsidRPr="003A613E">
        <w:rPr>
          <w:rFonts w:ascii="Cambria" w:eastAsia="Cambria" w:hAnsi="Cambria" w:cs="Cambria"/>
          <w:b/>
          <w:color w:val="000000"/>
          <w:sz w:val="22"/>
          <w:szCs w:val="22"/>
          <w:lang w:eastAsia="es-EC"/>
        </w:rPr>
        <w:t>Lcdo. Franklin Gustavo Cumba Jara</w:t>
      </w:r>
      <w:r w:rsidRPr="003A613E">
        <w:rPr>
          <w:rFonts w:ascii="Cambria" w:eastAsia="Cambria" w:hAnsi="Cambria" w:cs="Cambria"/>
          <w:color w:val="000000"/>
          <w:sz w:val="22"/>
          <w:szCs w:val="22"/>
          <w:lang w:eastAsia="es-EC"/>
        </w:rPr>
        <w:t xml:space="preserve">, en su calidad de Director Financiero, </w:t>
      </w:r>
      <w:r w:rsidR="0070671A">
        <w:rPr>
          <w:rFonts w:ascii="Cambria" w:eastAsia="Cambria" w:hAnsi="Cambria" w:cs="Cambria"/>
          <w:b/>
          <w:color w:val="000000"/>
          <w:sz w:val="22"/>
          <w:szCs w:val="22"/>
          <w:lang w:eastAsia="es-EC"/>
        </w:rPr>
        <w:t>Mgs. Doris del Rocio Bonilla Changoluisa</w:t>
      </w:r>
      <w:r w:rsidRPr="003A613E">
        <w:rPr>
          <w:rFonts w:ascii="Cambria" w:eastAsia="Cambria" w:hAnsi="Cambria" w:cs="Cambria"/>
          <w:b/>
          <w:color w:val="000000"/>
          <w:sz w:val="22"/>
          <w:szCs w:val="22"/>
          <w:lang w:eastAsia="es-EC"/>
        </w:rPr>
        <w:t>,</w:t>
      </w:r>
      <w:r w:rsidRPr="003A613E">
        <w:rPr>
          <w:rFonts w:ascii="Cambria" w:eastAsia="Cambria" w:hAnsi="Cambria" w:cs="Cambria"/>
          <w:color w:val="000000"/>
          <w:sz w:val="22"/>
          <w:szCs w:val="22"/>
          <w:lang w:eastAsia="es-EC"/>
        </w:rPr>
        <w:t xml:space="preserve"> en su calidad de Directora </w:t>
      </w:r>
      <w:r w:rsidR="008F71D2">
        <w:rPr>
          <w:rFonts w:ascii="Cambria" w:eastAsia="Cambria" w:hAnsi="Cambria" w:cs="Cambria"/>
          <w:color w:val="000000"/>
          <w:sz w:val="22"/>
          <w:szCs w:val="22"/>
          <w:lang w:eastAsia="es-EC"/>
        </w:rPr>
        <w:t>Administrativa</w:t>
      </w:r>
      <w:r>
        <w:rPr>
          <w:rFonts w:ascii="Cambria" w:eastAsia="Cambria" w:hAnsi="Cambria" w:cs="Cambria"/>
          <w:color w:val="000000"/>
          <w:sz w:val="22"/>
          <w:szCs w:val="22"/>
          <w:lang w:eastAsia="es-EC"/>
        </w:rPr>
        <w:t xml:space="preserve">, </w:t>
      </w:r>
      <w:r w:rsidRPr="003A613E">
        <w:rPr>
          <w:rFonts w:ascii="Cambria" w:eastAsia="Cambria" w:hAnsi="Cambria" w:cs="Cambria"/>
          <w:color w:val="000000"/>
          <w:sz w:val="22"/>
          <w:szCs w:val="22"/>
          <w:lang w:eastAsia="es-EC"/>
        </w:rPr>
        <w:t xml:space="preserve">y </w:t>
      </w:r>
      <w:r w:rsidRPr="003A613E">
        <w:rPr>
          <w:rFonts w:ascii="Cambria" w:eastAsia="Cambria" w:hAnsi="Cambria" w:cs="Cambria"/>
          <w:b/>
          <w:color w:val="000000"/>
          <w:sz w:val="22"/>
          <w:szCs w:val="22"/>
          <w:lang w:eastAsia="es-EC"/>
        </w:rPr>
        <w:t>Lcdo. Paúl Rodrigo Utreras Ronquillo,</w:t>
      </w:r>
      <w:r w:rsidRPr="003A613E">
        <w:rPr>
          <w:rFonts w:ascii="Cambria" w:eastAsia="Cambria" w:hAnsi="Cambria" w:cs="Cambria"/>
          <w:color w:val="000000"/>
          <w:sz w:val="22"/>
          <w:szCs w:val="22"/>
          <w:lang w:eastAsia="es-EC"/>
        </w:rPr>
        <w:t xml:space="preserve"> en su calidad de Guardalmacén de </w:t>
      </w:r>
      <w:r w:rsidR="00DC65AB">
        <w:rPr>
          <w:rFonts w:ascii="Cambria" w:eastAsia="Cambria" w:hAnsi="Cambria" w:cs="Cambria"/>
          <w:color w:val="000000"/>
          <w:sz w:val="22"/>
          <w:szCs w:val="22"/>
          <w:lang w:eastAsia="es-EC"/>
        </w:rPr>
        <w:t>Bienes y Existencias</w:t>
      </w:r>
      <w:r w:rsidRPr="003A613E">
        <w:rPr>
          <w:rFonts w:ascii="Cambria" w:eastAsia="Cambria" w:hAnsi="Cambria" w:cs="Cambria"/>
          <w:color w:val="000000"/>
          <w:sz w:val="22"/>
          <w:szCs w:val="22"/>
          <w:lang w:eastAsia="es-EC"/>
        </w:rPr>
        <w:t xml:space="preserve">, en cumplimiento de lo dispuesto en el </w:t>
      </w:r>
      <w:r w:rsidRPr="003A613E">
        <w:rPr>
          <w:rFonts w:ascii="Cambria" w:eastAsia="Cambria" w:hAnsi="Cambria" w:cs="Cambria"/>
          <w:b/>
          <w:color w:val="000000"/>
          <w:sz w:val="22"/>
          <w:szCs w:val="22"/>
          <w:lang w:eastAsia="es-EC"/>
        </w:rPr>
        <w:t xml:space="preserve">Acuerdo Nº 0064 </w:t>
      </w:r>
      <w:r w:rsidRPr="003A613E">
        <w:rPr>
          <w:rFonts w:ascii="Cambria" w:eastAsia="Cambria" w:hAnsi="Cambria" w:cs="Cambria"/>
          <w:color w:val="000000"/>
          <w:sz w:val="22"/>
          <w:szCs w:val="22"/>
          <w:lang w:eastAsia="es-EC"/>
        </w:rPr>
        <w:t xml:space="preserve">extendido por el señor Coordinador General Administrativo Financiero el </w:t>
      </w:r>
      <w:r w:rsidRPr="003A613E">
        <w:rPr>
          <w:rFonts w:ascii="Cambria" w:eastAsia="Cambria" w:hAnsi="Cambria" w:cs="Cambria"/>
          <w:b/>
          <w:color w:val="000000"/>
          <w:sz w:val="22"/>
          <w:szCs w:val="22"/>
          <w:lang w:eastAsia="es-EC"/>
        </w:rPr>
        <w:t>06 de julio de 2021</w:t>
      </w:r>
      <w:r w:rsidRPr="003A613E">
        <w:rPr>
          <w:rFonts w:ascii="Cambria" w:eastAsia="Cambria" w:hAnsi="Cambria" w:cs="Cambria"/>
          <w:color w:val="000000"/>
          <w:sz w:val="22"/>
          <w:szCs w:val="22"/>
          <w:lang w:eastAsia="es-EC"/>
        </w:rPr>
        <w:t xml:space="preserve">, a quienes en adelante se los podrá denominar </w:t>
      </w:r>
      <w:r w:rsidRPr="003A613E">
        <w:rPr>
          <w:rFonts w:ascii="Cambria" w:eastAsia="Cambria" w:hAnsi="Cambria" w:cs="Cambria"/>
          <w:b/>
          <w:color w:val="000000"/>
          <w:sz w:val="22"/>
          <w:szCs w:val="22"/>
          <w:lang w:eastAsia="es-EC"/>
        </w:rPr>
        <w:t>“M</w:t>
      </w:r>
      <w:r>
        <w:rPr>
          <w:rFonts w:ascii="Cambria" w:eastAsia="Cambria" w:hAnsi="Cambria" w:cs="Cambria"/>
          <w:b/>
          <w:color w:val="000000"/>
          <w:sz w:val="22"/>
          <w:szCs w:val="22"/>
          <w:lang w:eastAsia="es-EC"/>
        </w:rPr>
        <w:t>INISTERIO DE ECONOMÍA Y FINANZAS</w:t>
      </w:r>
      <w:r w:rsidR="00FB58C4" w:rsidRPr="003A613E">
        <w:rPr>
          <w:rFonts w:ascii="Cambria" w:eastAsia="Cambria" w:hAnsi="Cambria" w:cs="Cambria"/>
          <w:b/>
          <w:color w:val="000000"/>
          <w:sz w:val="22"/>
          <w:szCs w:val="22"/>
          <w:lang w:eastAsia="es-EC"/>
        </w:rPr>
        <w:t>”</w:t>
      </w:r>
      <w:r w:rsidR="00FB58C4" w:rsidRPr="003A613E">
        <w:rPr>
          <w:rFonts w:ascii="Cambria" w:eastAsia="Cambria" w:hAnsi="Cambria" w:cs="Cambria"/>
          <w:color w:val="000000"/>
          <w:sz w:val="22"/>
          <w:szCs w:val="22"/>
          <w:lang w:eastAsia="es-EC"/>
        </w:rPr>
        <w:t xml:space="preserve">; y por otra parte, </w:t>
      </w:r>
      <w:r w:rsidR="00107731" w:rsidRPr="00442AF0">
        <w:rPr>
          <w:rFonts w:ascii="Cambria" w:eastAsia="Cambria" w:hAnsi="Cambria" w:cs="Cambria"/>
          <w:color w:val="000000"/>
          <w:sz w:val="22"/>
          <w:szCs w:val="22"/>
          <w:lang w:eastAsia="es-EC"/>
        </w:rPr>
        <w:t>(</w:t>
      </w:r>
      <w:r w:rsidR="00107731" w:rsidRPr="00442AF0">
        <w:rPr>
          <w:rFonts w:ascii="Cambria" w:eastAsia="Cambria" w:hAnsi="Cambria" w:cs="Cambria"/>
          <w:b/>
          <w:color w:val="000000"/>
          <w:sz w:val="22"/>
          <w:szCs w:val="22"/>
          <w:lang w:eastAsia="es-EC"/>
        </w:rPr>
        <w:t>colocar razón social de la entidad como consta en el RUC)</w:t>
      </w:r>
      <w:r w:rsidR="00107731" w:rsidRPr="00442AF0">
        <w:rPr>
          <w:rFonts w:ascii="Cambria" w:eastAsia="Cambria" w:hAnsi="Cambria" w:cs="Cambria"/>
          <w:color w:val="000000"/>
          <w:sz w:val="22"/>
          <w:szCs w:val="22"/>
          <w:lang w:eastAsia="es-EC"/>
        </w:rPr>
        <w:t xml:space="preserve"> y</w:t>
      </w:r>
      <w:r w:rsidR="00107731" w:rsidRPr="00442AF0">
        <w:rPr>
          <w:rFonts w:ascii="Cambria" w:eastAsia="Cambria" w:hAnsi="Cambria" w:cs="Cambria"/>
          <w:b/>
          <w:color w:val="000000"/>
          <w:sz w:val="22"/>
          <w:szCs w:val="22"/>
          <w:lang w:eastAsia="es-EC"/>
        </w:rPr>
        <w:t xml:space="preserve"> (colocar el código de la entidad EOD/UDAF)</w:t>
      </w:r>
      <w:r w:rsidR="00107731" w:rsidRPr="00442AF0">
        <w:rPr>
          <w:rFonts w:ascii="Cambria" w:eastAsia="Cambria" w:hAnsi="Cambria" w:cs="Cambria"/>
          <w:color w:val="000000"/>
          <w:sz w:val="22"/>
          <w:szCs w:val="22"/>
          <w:lang w:eastAsia="es-EC"/>
        </w:rPr>
        <w:t>,  representado por el  (</w:t>
      </w:r>
      <w:r w:rsidR="00107731" w:rsidRPr="00442AF0">
        <w:rPr>
          <w:rFonts w:ascii="Cambria" w:eastAsia="Cambria" w:hAnsi="Cambria" w:cs="Cambria"/>
          <w:b/>
          <w:color w:val="000000"/>
          <w:sz w:val="22"/>
          <w:szCs w:val="22"/>
          <w:lang w:eastAsia="es-EC"/>
        </w:rPr>
        <w:t>colocar el nombre de la máxima autoridad o su delegado</w:t>
      </w:r>
      <w:r w:rsidR="00107731" w:rsidRPr="00442AF0">
        <w:rPr>
          <w:rFonts w:ascii="Cambria" w:eastAsia="Cambria" w:hAnsi="Cambria" w:cs="Cambria"/>
          <w:color w:val="000000"/>
          <w:sz w:val="22"/>
          <w:szCs w:val="22"/>
          <w:lang w:eastAsia="es-EC"/>
        </w:rPr>
        <w:t>) en su calidad de (</w:t>
      </w:r>
      <w:r w:rsidR="00107731" w:rsidRPr="00442AF0">
        <w:rPr>
          <w:rFonts w:ascii="Cambria" w:eastAsia="Cambria" w:hAnsi="Cambria" w:cs="Cambria"/>
          <w:b/>
          <w:color w:val="000000"/>
          <w:sz w:val="22"/>
          <w:szCs w:val="22"/>
          <w:lang w:eastAsia="es-EC"/>
        </w:rPr>
        <w:t>colocar el cargo</w:t>
      </w:r>
      <w:r w:rsidR="00107731" w:rsidRPr="00442AF0">
        <w:rPr>
          <w:rFonts w:ascii="Cambria" w:eastAsia="Cambria" w:hAnsi="Cambria" w:cs="Cambria"/>
          <w:color w:val="000000"/>
          <w:sz w:val="22"/>
          <w:szCs w:val="22"/>
          <w:lang w:eastAsia="es-EC"/>
        </w:rPr>
        <w:t>) y designado mediante (</w:t>
      </w:r>
      <w:r w:rsidR="00107731" w:rsidRPr="00442AF0">
        <w:rPr>
          <w:rFonts w:ascii="Cambria" w:eastAsia="Cambria" w:hAnsi="Cambria" w:cs="Cambria"/>
          <w:b/>
          <w:color w:val="000000"/>
          <w:sz w:val="22"/>
          <w:szCs w:val="22"/>
          <w:lang w:eastAsia="es-EC"/>
        </w:rPr>
        <w:t>colocar el documento con el cual se le designada como máxima autoridad o su delegado</w:t>
      </w:r>
      <w:r w:rsidR="005E00B1">
        <w:rPr>
          <w:rFonts w:ascii="Cambria" w:eastAsia="Cambria" w:hAnsi="Cambria" w:cs="Cambria"/>
          <w:b/>
          <w:color w:val="000000"/>
          <w:sz w:val="22"/>
          <w:szCs w:val="22"/>
          <w:lang w:eastAsia="es-EC"/>
        </w:rPr>
        <w:t xml:space="preserve"> y fecha del mismo</w:t>
      </w:r>
      <w:r w:rsidR="00107731" w:rsidRPr="00442AF0">
        <w:rPr>
          <w:rFonts w:ascii="Cambria" w:eastAsia="Cambria" w:hAnsi="Cambria" w:cs="Cambria"/>
          <w:b/>
          <w:color w:val="000000"/>
          <w:sz w:val="22"/>
          <w:szCs w:val="22"/>
          <w:lang w:eastAsia="es-EC"/>
        </w:rPr>
        <w:t>)</w:t>
      </w:r>
      <w:r w:rsidR="00107731" w:rsidRPr="00442AF0">
        <w:rPr>
          <w:rFonts w:ascii="Cambria" w:eastAsia="Cambria" w:hAnsi="Cambria" w:cs="Cambria"/>
          <w:color w:val="000000"/>
          <w:sz w:val="22"/>
          <w:szCs w:val="22"/>
          <w:lang w:eastAsia="es-EC"/>
        </w:rPr>
        <w:t xml:space="preserve"> , (</w:t>
      </w:r>
      <w:r w:rsidR="00107731" w:rsidRPr="00442AF0">
        <w:rPr>
          <w:rFonts w:ascii="Cambria" w:eastAsia="Cambria" w:hAnsi="Cambria" w:cs="Cambria"/>
          <w:b/>
          <w:color w:val="000000"/>
          <w:sz w:val="22"/>
          <w:szCs w:val="22"/>
          <w:lang w:eastAsia="es-EC"/>
        </w:rPr>
        <w:t>colocar el nombre del Coordinador Administrativo Financiero/ Director Administrativo Financiero o quien haga de sus veces</w:t>
      </w:r>
      <w:r w:rsidR="00107731" w:rsidRPr="00442AF0">
        <w:rPr>
          <w:rFonts w:ascii="Cambria" w:eastAsia="Cambria" w:hAnsi="Cambria" w:cs="Cambria"/>
          <w:color w:val="000000"/>
          <w:sz w:val="22"/>
          <w:szCs w:val="22"/>
          <w:lang w:eastAsia="es-EC"/>
        </w:rPr>
        <w:t>), en su calidad en su calidad de (</w:t>
      </w:r>
      <w:r w:rsidR="00107731" w:rsidRPr="00442AF0">
        <w:rPr>
          <w:rFonts w:ascii="Cambria" w:eastAsia="Cambria" w:hAnsi="Cambria" w:cs="Cambria"/>
          <w:b/>
          <w:color w:val="000000"/>
          <w:sz w:val="22"/>
          <w:szCs w:val="22"/>
          <w:lang w:eastAsia="es-EC"/>
        </w:rPr>
        <w:t>colocar el cargo</w:t>
      </w:r>
      <w:r w:rsidR="00107731" w:rsidRPr="00442AF0">
        <w:rPr>
          <w:rFonts w:ascii="Cambria" w:eastAsia="Cambria" w:hAnsi="Cambria" w:cs="Cambria"/>
          <w:color w:val="000000"/>
          <w:sz w:val="22"/>
          <w:szCs w:val="22"/>
          <w:lang w:eastAsia="es-EC"/>
        </w:rPr>
        <w:t>) y designado mediante (</w:t>
      </w:r>
      <w:r w:rsidR="00107731" w:rsidRPr="00442AF0">
        <w:rPr>
          <w:rFonts w:ascii="Cambria" w:eastAsia="Cambria" w:hAnsi="Cambria" w:cs="Cambria"/>
          <w:b/>
          <w:color w:val="000000"/>
          <w:sz w:val="22"/>
          <w:szCs w:val="22"/>
          <w:lang w:eastAsia="es-EC"/>
        </w:rPr>
        <w:t>colocar el documento con el cual se le designada como Coordinador Administrativo Financiero/ Director Administrativo Financiero o quien haga de sus veces</w:t>
      </w:r>
      <w:r w:rsidR="005E00B1">
        <w:rPr>
          <w:rFonts w:ascii="Cambria" w:eastAsia="Cambria" w:hAnsi="Cambria" w:cs="Cambria"/>
          <w:b/>
          <w:color w:val="000000"/>
          <w:sz w:val="22"/>
          <w:szCs w:val="22"/>
          <w:lang w:eastAsia="es-EC"/>
        </w:rPr>
        <w:t xml:space="preserve"> y fecha del mismo</w:t>
      </w:r>
      <w:r w:rsidR="00107731" w:rsidRPr="00442AF0">
        <w:rPr>
          <w:rFonts w:ascii="Cambria" w:eastAsia="Cambria" w:hAnsi="Cambria" w:cs="Cambria"/>
          <w:b/>
          <w:color w:val="000000"/>
          <w:sz w:val="22"/>
          <w:szCs w:val="22"/>
          <w:lang w:eastAsia="es-EC"/>
        </w:rPr>
        <w:t>)</w:t>
      </w:r>
      <w:r w:rsidR="00107731" w:rsidRPr="00442AF0">
        <w:rPr>
          <w:rFonts w:ascii="Cambria" w:eastAsia="Cambria" w:hAnsi="Cambria" w:cs="Cambria"/>
          <w:color w:val="000000"/>
          <w:sz w:val="22"/>
          <w:szCs w:val="22"/>
          <w:lang w:eastAsia="es-EC"/>
        </w:rPr>
        <w:t>, (</w:t>
      </w:r>
      <w:r w:rsidR="00107731" w:rsidRPr="00442AF0">
        <w:rPr>
          <w:rFonts w:ascii="Cambria" w:eastAsia="Cambria" w:hAnsi="Cambria" w:cs="Cambria"/>
          <w:b/>
          <w:color w:val="000000"/>
          <w:sz w:val="22"/>
          <w:szCs w:val="22"/>
          <w:lang w:eastAsia="es-EC"/>
        </w:rPr>
        <w:t>colocar el nombre del Director Financiero o quien haga sus veces</w:t>
      </w:r>
      <w:r w:rsidR="00107731" w:rsidRPr="00442AF0">
        <w:rPr>
          <w:rFonts w:ascii="Cambria" w:eastAsia="Cambria" w:hAnsi="Cambria" w:cs="Cambria"/>
          <w:color w:val="000000"/>
          <w:sz w:val="22"/>
          <w:szCs w:val="22"/>
          <w:lang w:eastAsia="es-EC"/>
        </w:rPr>
        <w:t>) de en su calidad de (</w:t>
      </w:r>
      <w:r w:rsidR="00107731" w:rsidRPr="00442AF0">
        <w:rPr>
          <w:rFonts w:ascii="Cambria" w:eastAsia="Cambria" w:hAnsi="Cambria" w:cs="Cambria"/>
          <w:b/>
          <w:color w:val="000000"/>
          <w:sz w:val="22"/>
          <w:szCs w:val="22"/>
          <w:lang w:eastAsia="es-EC"/>
        </w:rPr>
        <w:t>colocar el cargo</w:t>
      </w:r>
      <w:r w:rsidR="00107731" w:rsidRPr="00442AF0">
        <w:rPr>
          <w:rFonts w:ascii="Cambria" w:eastAsia="Cambria" w:hAnsi="Cambria" w:cs="Cambria"/>
          <w:color w:val="000000"/>
          <w:sz w:val="22"/>
          <w:szCs w:val="22"/>
          <w:lang w:eastAsia="es-EC"/>
        </w:rPr>
        <w:t>) y designado mediante (</w:t>
      </w:r>
      <w:r w:rsidR="00107731" w:rsidRPr="00442AF0">
        <w:rPr>
          <w:rFonts w:ascii="Cambria" w:eastAsia="Cambria" w:hAnsi="Cambria" w:cs="Cambria"/>
          <w:b/>
          <w:color w:val="000000"/>
          <w:sz w:val="22"/>
          <w:szCs w:val="22"/>
          <w:lang w:eastAsia="es-EC"/>
        </w:rPr>
        <w:t>colocar el documento con el cual se le designada como Director Financiero o quien haga sus veces</w:t>
      </w:r>
      <w:r w:rsidR="005E00B1">
        <w:rPr>
          <w:rFonts w:ascii="Cambria" w:eastAsia="Cambria" w:hAnsi="Cambria" w:cs="Cambria"/>
          <w:b/>
          <w:color w:val="000000"/>
          <w:sz w:val="22"/>
          <w:szCs w:val="22"/>
          <w:lang w:eastAsia="es-EC"/>
        </w:rPr>
        <w:t xml:space="preserve"> y fecha del mismo</w:t>
      </w:r>
      <w:r w:rsidR="00107731" w:rsidRPr="00442AF0">
        <w:rPr>
          <w:rFonts w:ascii="Cambria" w:eastAsia="Cambria" w:hAnsi="Cambria" w:cs="Cambria"/>
          <w:b/>
          <w:color w:val="000000"/>
          <w:sz w:val="22"/>
          <w:szCs w:val="22"/>
          <w:lang w:eastAsia="es-EC"/>
        </w:rPr>
        <w:t>)</w:t>
      </w:r>
      <w:r w:rsidR="00107731" w:rsidRPr="00442AF0">
        <w:rPr>
          <w:rFonts w:ascii="Cambria" w:eastAsia="Cambria" w:hAnsi="Cambria" w:cs="Cambria"/>
          <w:color w:val="000000"/>
          <w:sz w:val="22"/>
          <w:szCs w:val="22"/>
          <w:lang w:eastAsia="es-EC"/>
        </w:rPr>
        <w:t>, (</w:t>
      </w:r>
      <w:r w:rsidR="00107731" w:rsidRPr="00442AF0">
        <w:rPr>
          <w:rFonts w:ascii="Cambria" w:eastAsia="Cambria" w:hAnsi="Cambria" w:cs="Cambria"/>
          <w:b/>
          <w:color w:val="000000"/>
          <w:sz w:val="22"/>
          <w:szCs w:val="22"/>
          <w:lang w:eastAsia="es-EC"/>
        </w:rPr>
        <w:t>nombre del Guardalmacén de Activos Fijos o quien haga de sus veces</w:t>
      </w:r>
      <w:r w:rsidR="00107731" w:rsidRPr="00442AF0">
        <w:rPr>
          <w:rFonts w:ascii="Cambria" w:eastAsia="Cambria" w:hAnsi="Cambria" w:cs="Cambria"/>
          <w:color w:val="000000"/>
          <w:sz w:val="22"/>
          <w:szCs w:val="22"/>
          <w:lang w:eastAsia="es-EC"/>
        </w:rPr>
        <w:t>) en su calidad (</w:t>
      </w:r>
      <w:r w:rsidR="00107731" w:rsidRPr="00442AF0">
        <w:rPr>
          <w:rFonts w:ascii="Cambria" w:eastAsia="Cambria" w:hAnsi="Cambria" w:cs="Cambria"/>
          <w:b/>
          <w:color w:val="000000"/>
          <w:sz w:val="22"/>
          <w:szCs w:val="22"/>
          <w:lang w:eastAsia="es-EC"/>
        </w:rPr>
        <w:t>colocar el cargo</w:t>
      </w:r>
      <w:r w:rsidR="00107731" w:rsidRPr="00442AF0">
        <w:rPr>
          <w:rFonts w:ascii="Cambria" w:eastAsia="Cambria" w:hAnsi="Cambria" w:cs="Cambria"/>
          <w:color w:val="000000"/>
          <w:sz w:val="22"/>
          <w:szCs w:val="22"/>
          <w:lang w:eastAsia="es-EC"/>
        </w:rPr>
        <w:t>) y designado mediante (</w:t>
      </w:r>
      <w:r w:rsidR="00107731" w:rsidRPr="00442AF0">
        <w:rPr>
          <w:rFonts w:ascii="Cambria" w:eastAsia="Cambria" w:hAnsi="Cambria" w:cs="Cambria"/>
          <w:b/>
          <w:color w:val="000000"/>
          <w:sz w:val="22"/>
          <w:szCs w:val="22"/>
          <w:lang w:eastAsia="es-EC"/>
        </w:rPr>
        <w:t>colocar el documento con el cual se le designada como Guardalmacén de Activos Fijos o quien haga de sus veces</w:t>
      </w:r>
      <w:r w:rsidR="005E00B1">
        <w:rPr>
          <w:rFonts w:ascii="Cambria" w:eastAsia="Cambria" w:hAnsi="Cambria" w:cs="Cambria"/>
          <w:b/>
          <w:color w:val="000000"/>
          <w:sz w:val="22"/>
          <w:szCs w:val="22"/>
          <w:lang w:eastAsia="es-EC"/>
        </w:rPr>
        <w:t xml:space="preserve"> y fecha del mismo</w:t>
      </w:r>
      <w:r w:rsidR="00107731" w:rsidRPr="00442AF0">
        <w:rPr>
          <w:rFonts w:ascii="Cambria" w:eastAsia="Cambria" w:hAnsi="Cambria" w:cs="Cambria"/>
          <w:b/>
          <w:color w:val="000000"/>
          <w:sz w:val="22"/>
          <w:szCs w:val="22"/>
          <w:lang w:eastAsia="es-EC"/>
        </w:rPr>
        <w:t>)</w:t>
      </w:r>
      <w:r w:rsidR="00107731" w:rsidRPr="00442AF0">
        <w:rPr>
          <w:rFonts w:ascii="Cambria" w:eastAsia="Cambria" w:hAnsi="Cambria" w:cs="Cambria"/>
          <w:color w:val="000000"/>
          <w:sz w:val="22"/>
          <w:szCs w:val="22"/>
          <w:lang w:eastAsia="es-EC"/>
        </w:rPr>
        <w:t xml:space="preserve">, a quienes se les podrá denominar </w:t>
      </w:r>
      <w:r w:rsidR="00ED5525" w:rsidRPr="00442AF0">
        <w:rPr>
          <w:rFonts w:ascii="Cambria" w:eastAsia="Cambria" w:hAnsi="Cambria" w:cs="Cambria"/>
          <w:color w:val="000000"/>
          <w:sz w:val="22"/>
          <w:szCs w:val="22"/>
          <w:lang w:eastAsia="es-EC"/>
        </w:rPr>
        <w:t>(</w:t>
      </w:r>
      <w:r w:rsidR="00ED5525" w:rsidRPr="00442AF0">
        <w:rPr>
          <w:rFonts w:ascii="Cambria" w:eastAsia="Cambria" w:hAnsi="Cambria" w:cs="Cambria"/>
          <w:b/>
          <w:color w:val="000000"/>
          <w:sz w:val="22"/>
          <w:szCs w:val="22"/>
          <w:lang w:eastAsia="es-EC"/>
        </w:rPr>
        <w:t>colocar razón social de la entidad como consta en el RUC)</w:t>
      </w:r>
      <w:r w:rsidR="00FB58C4" w:rsidRPr="003A613E">
        <w:rPr>
          <w:rFonts w:ascii="Cambria" w:eastAsia="Cambria" w:hAnsi="Cambria" w:cs="Cambria"/>
          <w:color w:val="000000"/>
          <w:sz w:val="22"/>
          <w:szCs w:val="22"/>
          <w:lang w:eastAsia="es-EC"/>
        </w:rPr>
        <w:t xml:space="preserve">, </w:t>
      </w:r>
      <w:r w:rsidR="00107731" w:rsidRPr="003A613E">
        <w:rPr>
          <w:rFonts w:ascii="Cambria" w:eastAsia="Cambria" w:hAnsi="Cambria" w:cs="Cambria"/>
          <w:color w:val="000000"/>
          <w:sz w:val="22"/>
          <w:szCs w:val="22"/>
          <w:lang w:eastAsia="es-EC"/>
        </w:rPr>
        <w:t xml:space="preserve">y en conjunto se les podrá denominar </w:t>
      </w:r>
      <w:r w:rsidR="00107731" w:rsidRPr="003A613E">
        <w:rPr>
          <w:rFonts w:ascii="Cambria" w:eastAsia="Cambria" w:hAnsi="Cambria" w:cs="Cambria"/>
          <w:b/>
          <w:color w:val="000000"/>
          <w:sz w:val="22"/>
          <w:szCs w:val="22"/>
          <w:lang w:eastAsia="es-EC"/>
        </w:rPr>
        <w:t>“LAS PARTES”</w:t>
      </w:r>
      <w:r w:rsidR="00107731" w:rsidRPr="003A613E">
        <w:rPr>
          <w:rFonts w:ascii="Cambria" w:eastAsia="Cambria" w:hAnsi="Cambria" w:cs="Cambria"/>
          <w:color w:val="000000"/>
          <w:sz w:val="22"/>
          <w:szCs w:val="22"/>
          <w:lang w:eastAsia="es-EC"/>
        </w:rPr>
        <w:t>, esto en cumplimiento de los artículos 77,80,130,131,132</w:t>
      </w:r>
      <w:r w:rsidR="00107731">
        <w:rPr>
          <w:rFonts w:ascii="Cambria" w:eastAsia="Cambria" w:hAnsi="Cambria" w:cs="Cambria"/>
          <w:color w:val="000000"/>
          <w:sz w:val="22"/>
          <w:szCs w:val="22"/>
          <w:lang w:eastAsia="es-EC"/>
        </w:rPr>
        <w:t>,</w:t>
      </w:r>
      <w:r w:rsidR="00107731" w:rsidRPr="003A613E">
        <w:rPr>
          <w:rFonts w:ascii="Cambria" w:eastAsia="Cambria" w:hAnsi="Cambria" w:cs="Cambria"/>
          <w:color w:val="000000"/>
          <w:sz w:val="22"/>
          <w:szCs w:val="22"/>
          <w:lang w:eastAsia="es-EC"/>
        </w:rPr>
        <w:t>133</w:t>
      </w:r>
      <w:r w:rsidR="00107731">
        <w:rPr>
          <w:rFonts w:ascii="Cambria" w:eastAsia="Cambria" w:hAnsi="Cambria" w:cs="Cambria"/>
          <w:color w:val="000000"/>
          <w:sz w:val="22"/>
          <w:szCs w:val="22"/>
          <w:lang w:eastAsia="es-EC"/>
        </w:rPr>
        <w:t>,159 y 161</w:t>
      </w:r>
      <w:r w:rsidR="003D192A">
        <w:rPr>
          <w:rFonts w:ascii="Cambria" w:eastAsia="Cambria" w:hAnsi="Cambria" w:cs="Cambria"/>
          <w:color w:val="000000"/>
          <w:sz w:val="22"/>
          <w:szCs w:val="22"/>
          <w:lang w:eastAsia="es-EC"/>
        </w:rPr>
        <w:t xml:space="preserve"> </w:t>
      </w:r>
      <w:r w:rsidR="00107731" w:rsidRPr="003A613E">
        <w:rPr>
          <w:rFonts w:ascii="Cambria" w:eastAsia="Cambria" w:hAnsi="Cambria" w:cs="Cambria"/>
          <w:color w:val="000000"/>
          <w:sz w:val="22"/>
          <w:szCs w:val="22"/>
          <w:lang w:eastAsia="es-EC"/>
        </w:rPr>
        <w:t>del Reglamento General Sustitutivo para la Administración, Utilización, Manejo y Control de los Bienes e Inventarios del Sector Publico, a la celebración de la presente acta entrega recepción del tenor siguiente</w:t>
      </w:r>
      <w:r w:rsidR="00FB58C4" w:rsidRPr="003A613E">
        <w:rPr>
          <w:rFonts w:ascii="Cambria" w:eastAsia="Cambria" w:hAnsi="Cambria" w:cs="Cambria"/>
          <w:color w:val="000000"/>
          <w:sz w:val="22"/>
          <w:szCs w:val="22"/>
          <w:lang w:eastAsia="es-EC"/>
        </w:rPr>
        <w:t>:</w:t>
      </w:r>
    </w:p>
    <w:p w:rsidR="00257496" w:rsidRPr="003A613E" w:rsidRDefault="00257496" w:rsidP="00FB58C4">
      <w:pPr>
        <w:autoSpaceDE w:val="0"/>
        <w:autoSpaceDN w:val="0"/>
        <w:adjustRightInd w:val="0"/>
        <w:spacing w:line="360" w:lineRule="auto"/>
        <w:jc w:val="both"/>
        <w:rPr>
          <w:rFonts w:ascii="Cambria" w:eastAsia="Cambria" w:hAnsi="Cambria" w:cs="Cambria"/>
          <w:color w:val="000000"/>
          <w:sz w:val="22"/>
          <w:szCs w:val="22"/>
          <w:lang w:eastAsia="es-EC"/>
        </w:rPr>
      </w:pPr>
    </w:p>
    <w:p w:rsidR="00257496" w:rsidRPr="003A613E" w:rsidRDefault="00257496" w:rsidP="00257496">
      <w:pPr>
        <w:spacing w:after="100" w:afterAutospacing="1"/>
        <w:jc w:val="both"/>
        <w:rPr>
          <w:rFonts w:ascii="Cambria" w:hAnsi="Cambria"/>
          <w:b/>
          <w:sz w:val="22"/>
          <w:szCs w:val="22"/>
        </w:rPr>
      </w:pPr>
      <w:r w:rsidRPr="003A613E">
        <w:rPr>
          <w:rFonts w:ascii="Cambria" w:hAnsi="Cambria"/>
          <w:b/>
          <w:sz w:val="22"/>
          <w:szCs w:val="22"/>
        </w:rPr>
        <w:t>BASE LEGAL:</w:t>
      </w:r>
    </w:p>
    <w:p w:rsidR="00257496" w:rsidRPr="003A613E" w:rsidRDefault="00257496" w:rsidP="00B4020C">
      <w:pPr>
        <w:pStyle w:val="Prrafodelista"/>
        <w:numPr>
          <w:ilvl w:val="0"/>
          <w:numId w:val="2"/>
        </w:numPr>
        <w:spacing w:after="206"/>
        <w:ind w:right="-10"/>
        <w:jc w:val="both"/>
        <w:rPr>
          <w:rFonts w:ascii="Cambria" w:hAnsi="Cambria"/>
        </w:rPr>
      </w:pPr>
      <w:r w:rsidRPr="003A613E">
        <w:rPr>
          <w:rFonts w:ascii="Cambria" w:eastAsia="Cambria" w:hAnsi="Cambria" w:cs="Cambria"/>
          <w:color w:val="000000"/>
          <w:lang w:eastAsia="es-EC"/>
        </w:rPr>
        <w:t>El numeral 26 del artículo 66 de la Constitución de la República del Ecuador, reconoce y garantiza a las personas: “</w:t>
      </w:r>
      <w:r w:rsidRPr="003A613E">
        <w:rPr>
          <w:rFonts w:ascii="Cambria" w:eastAsia="Cambria" w:hAnsi="Cambria" w:cs="Cambria"/>
          <w:i/>
          <w:color w:val="000000"/>
          <w:lang w:eastAsia="es-EC"/>
        </w:rPr>
        <w:t>El derecho a la propiedad en todas sus formas, con función y responsabilidad social y ambiental.  El derecho al acceso a la propiedad se hará efectivo con la adopción de políticas públicas, entre otras medidas</w:t>
      </w:r>
      <w:r w:rsidRPr="003A613E">
        <w:rPr>
          <w:rFonts w:ascii="Cambria" w:eastAsia="Cambria" w:hAnsi="Cambria" w:cs="Cambria"/>
          <w:color w:val="000000"/>
          <w:lang w:eastAsia="es-EC"/>
        </w:rPr>
        <w:t>”;</w:t>
      </w:r>
    </w:p>
    <w:p w:rsidR="00140466" w:rsidRDefault="00140466" w:rsidP="00140466">
      <w:pPr>
        <w:pStyle w:val="Prrafodelista"/>
        <w:spacing w:after="206" w:line="360" w:lineRule="auto"/>
        <w:ind w:right="-10"/>
        <w:jc w:val="both"/>
        <w:rPr>
          <w:rFonts w:ascii="Cambria" w:hAnsi="Cambria"/>
        </w:rPr>
      </w:pPr>
    </w:p>
    <w:p w:rsidR="00D83E1A" w:rsidRPr="003A613E" w:rsidRDefault="00D83E1A" w:rsidP="00140466">
      <w:pPr>
        <w:pStyle w:val="Prrafodelista"/>
        <w:spacing w:after="206" w:line="360" w:lineRule="auto"/>
        <w:ind w:right="-10"/>
        <w:jc w:val="both"/>
        <w:rPr>
          <w:rFonts w:ascii="Cambria" w:hAnsi="Cambria"/>
        </w:rPr>
      </w:pPr>
    </w:p>
    <w:p w:rsidR="00257496" w:rsidRPr="003A613E" w:rsidRDefault="00257496" w:rsidP="00B4020C">
      <w:pPr>
        <w:pStyle w:val="Prrafodelista"/>
        <w:numPr>
          <w:ilvl w:val="0"/>
          <w:numId w:val="2"/>
        </w:numPr>
        <w:spacing w:after="206"/>
        <w:ind w:right="-10"/>
        <w:jc w:val="both"/>
        <w:rPr>
          <w:rFonts w:ascii="Cambria" w:hAnsi="Cambria"/>
        </w:rPr>
      </w:pPr>
      <w:r w:rsidRPr="003A613E">
        <w:rPr>
          <w:rFonts w:ascii="Cambria" w:hAnsi="Cambria"/>
        </w:rPr>
        <w:lastRenderedPageBreak/>
        <w:t xml:space="preserve"> </w:t>
      </w:r>
      <w:r w:rsidR="00EB625C" w:rsidRPr="003A613E">
        <w:rPr>
          <w:rFonts w:ascii="Cambria" w:eastAsia="Cambria" w:hAnsi="Cambria" w:cs="Cambria"/>
          <w:color w:val="000000"/>
          <w:lang w:eastAsia="es-EC"/>
        </w:rPr>
        <w:t>E</w:t>
      </w:r>
      <w:r w:rsidRPr="003A613E">
        <w:rPr>
          <w:rFonts w:ascii="Cambria" w:eastAsia="Cambria" w:hAnsi="Cambria" w:cs="Cambria"/>
          <w:color w:val="000000"/>
          <w:lang w:eastAsia="es-EC"/>
        </w:rPr>
        <w:t>l numeral 1 del artículo 154 de la citada Carta Suprema, dispone: “</w:t>
      </w:r>
      <w:r w:rsidRPr="003A613E">
        <w:rPr>
          <w:rFonts w:ascii="Cambria" w:eastAsia="Cambria" w:hAnsi="Cambria" w:cs="Cambria"/>
          <w:i/>
          <w:color w:val="000000"/>
          <w:lang w:eastAsia="es-EC"/>
        </w:rPr>
        <w:t>A las ministras y ministros de Estado, además de las atribuciones establecidas en la Ley, les corresponde: 1. Ejercer la rectoría de las políticas públicas del área a su cargo y expedir los acuerdos y resoluciones administrativas que requiera su gestión</w:t>
      </w:r>
      <w:r w:rsidRPr="003A613E">
        <w:rPr>
          <w:rFonts w:ascii="Cambria" w:eastAsia="Cambria" w:hAnsi="Cambria" w:cs="Cambria"/>
          <w:color w:val="000000"/>
          <w:lang w:eastAsia="es-EC"/>
        </w:rPr>
        <w:t>”;</w:t>
      </w:r>
    </w:p>
    <w:p w:rsidR="00140466" w:rsidRPr="003A613E" w:rsidRDefault="00140466" w:rsidP="00140466">
      <w:pPr>
        <w:pStyle w:val="Prrafodelista"/>
        <w:rPr>
          <w:rFonts w:ascii="Cambria" w:hAnsi="Cambria"/>
        </w:rPr>
      </w:pPr>
    </w:p>
    <w:p w:rsidR="00257496" w:rsidRPr="003A613E" w:rsidRDefault="00257496" w:rsidP="00B4020C">
      <w:pPr>
        <w:pStyle w:val="Prrafodelista"/>
        <w:numPr>
          <w:ilvl w:val="0"/>
          <w:numId w:val="2"/>
        </w:numPr>
        <w:spacing w:after="206"/>
        <w:ind w:right="-10"/>
        <w:jc w:val="both"/>
        <w:rPr>
          <w:rFonts w:ascii="Cambria" w:hAnsi="Cambria"/>
        </w:rPr>
      </w:pPr>
      <w:r w:rsidRPr="003A613E">
        <w:rPr>
          <w:rFonts w:ascii="Cambria" w:eastAsia="Cambria" w:hAnsi="Cambria" w:cs="Cambria"/>
          <w:color w:val="000000"/>
          <w:lang w:eastAsia="es-EC"/>
        </w:rPr>
        <w:t>El artículo 226 de la Carta Magna, señala que las Instituciones del Estado, sus organismos, dependencias, las servidoras o servidores públicos y las personas que actúen en virtud de una potestad estatal ejercerán solamente las competencias y facultades que se les sean atribuidas en la Constitución y la ley. Tendrán el deber de coordinar acciones para el cumplimiento de sus fines y hacer efectivo el goce y ejercicio de los derechos reconocidos en la Constitución</w:t>
      </w:r>
      <w:r w:rsidRPr="003A613E">
        <w:rPr>
          <w:rFonts w:ascii="Cambria" w:hAnsi="Cambria"/>
        </w:rPr>
        <w:t>.</w:t>
      </w:r>
    </w:p>
    <w:p w:rsidR="00257496" w:rsidRPr="003A613E" w:rsidRDefault="00257496" w:rsidP="00257496">
      <w:pPr>
        <w:pStyle w:val="Prrafodelista"/>
        <w:spacing w:line="360" w:lineRule="auto"/>
        <w:rPr>
          <w:rFonts w:ascii="Cambria" w:hAnsi="Cambria"/>
        </w:rPr>
      </w:pPr>
    </w:p>
    <w:p w:rsidR="00257496" w:rsidRPr="003A613E" w:rsidRDefault="00257496" w:rsidP="00B4020C">
      <w:pPr>
        <w:pStyle w:val="Prrafodelista"/>
        <w:numPr>
          <w:ilvl w:val="0"/>
          <w:numId w:val="2"/>
        </w:numPr>
        <w:spacing w:after="206"/>
        <w:ind w:right="-10"/>
        <w:contextualSpacing w:val="0"/>
        <w:jc w:val="both"/>
        <w:rPr>
          <w:rFonts w:ascii="Cambria" w:hAnsi="Cambria"/>
        </w:rPr>
      </w:pPr>
      <w:r w:rsidRPr="003A613E">
        <w:rPr>
          <w:rFonts w:ascii="Cambria" w:eastAsia="Cambria" w:hAnsi="Cambria" w:cs="Cambria"/>
          <w:color w:val="000000"/>
          <w:lang w:eastAsia="es-EC"/>
        </w:rPr>
        <w:t xml:space="preserve">El artículo 321 de la Carta Suprema reconoce y garantiza el derecho a la propiedad en sus formas pública, privada, comunitaria, estatal, asociativa, cooperativa, mixta, y que deberá cumplir </w:t>
      </w:r>
      <w:r w:rsidR="002F7B41" w:rsidRPr="003A613E">
        <w:rPr>
          <w:rFonts w:ascii="Cambria" w:eastAsia="Cambria" w:hAnsi="Cambria" w:cs="Cambria"/>
          <w:color w:val="000000"/>
          <w:lang w:eastAsia="es-EC"/>
        </w:rPr>
        <w:t>su función social y ambiental. (…)</w:t>
      </w:r>
      <w:r w:rsidRPr="003A613E">
        <w:rPr>
          <w:rFonts w:ascii="Cambria" w:eastAsia="Cambria" w:hAnsi="Cambria" w:cs="Cambria"/>
          <w:color w:val="000000"/>
          <w:lang w:eastAsia="es-EC"/>
        </w:rPr>
        <w:t>.”</w:t>
      </w:r>
    </w:p>
    <w:p w:rsidR="00257496" w:rsidRPr="003A613E" w:rsidRDefault="00257496" w:rsidP="00B4020C">
      <w:pPr>
        <w:pStyle w:val="Prrafodelista"/>
        <w:numPr>
          <w:ilvl w:val="0"/>
          <w:numId w:val="2"/>
        </w:numPr>
        <w:spacing w:after="206"/>
        <w:ind w:right="-10"/>
        <w:contextualSpacing w:val="0"/>
        <w:jc w:val="both"/>
        <w:rPr>
          <w:rFonts w:ascii="Cambria" w:hAnsi="Cambria"/>
        </w:rPr>
      </w:pPr>
      <w:r w:rsidRPr="003A613E">
        <w:rPr>
          <w:rFonts w:ascii="Cambria" w:hAnsi="Cambria"/>
        </w:rPr>
        <w:t xml:space="preserve">El artículo 77 del Reglamento General Sustitutivo para la Administración, Utilización, Manejo y Control de los Bienes e Inventarios del Sector Público, determina que: </w:t>
      </w:r>
      <w:r w:rsidRPr="003A613E">
        <w:rPr>
          <w:rFonts w:ascii="Cambria" w:hAnsi="Cambria"/>
          <w:i/>
        </w:rPr>
        <w:t>”Las entidades u</w:t>
      </w:r>
      <w:r w:rsidRPr="003A613E">
        <w:rPr>
          <w:rFonts w:ascii="Cambria" w:eastAsia="Times New Roman" w:hAnsi="Cambria" w:cs="NimbusSanL"/>
          <w:i/>
        </w:rPr>
        <w:t xml:space="preserve"> </w:t>
      </w:r>
      <w:r w:rsidRPr="003A613E">
        <w:rPr>
          <w:rFonts w:ascii="Cambria" w:hAnsi="Cambria"/>
          <w:i/>
        </w:rPr>
        <w:t>organismos señalados en el artículo 1 del presente reglamento,</w:t>
      </w:r>
      <w:r w:rsidRPr="003A613E">
        <w:rPr>
          <w:rFonts w:ascii="Cambria" w:hAnsi="Cambria"/>
        </w:rPr>
        <w:t xml:space="preserve"> </w:t>
      </w:r>
      <w:r w:rsidRPr="003A613E">
        <w:rPr>
          <w:rFonts w:ascii="Cambria" w:hAnsi="Cambria"/>
          <w:i/>
        </w:rPr>
        <w:t>o éstas con instituciones del sector privado que realicen labor social u obras de beneficencia sin fines de lucro se podrá efectuar, principalmente, los siguientes actos de transferencia de dominio de bienes: remate, compraventa, trasferencia gratuita, donación, permuta y chatarrización</w:t>
      </w:r>
      <w:r w:rsidRPr="003A613E">
        <w:rPr>
          <w:rFonts w:ascii="Cambria" w:hAnsi="Cambria"/>
        </w:rPr>
        <w:t>.”</w:t>
      </w:r>
    </w:p>
    <w:p w:rsidR="00140466" w:rsidRPr="003A613E" w:rsidRDefault="00140466" w:rsidP="00140466">
      <w:pPr>
        <w:pStyle w:val="Prrafodelista"/>
        <w:numPr>
          <w:ilvl w:val="0"/>
          <w:numId w:val="2"/>
        </w:numPr>
        <w:autoSpaceDE w:val="0"/>
        <w:autoSpaceDN w:val="0"/>
        <w:adjustRightInd w:val="0"/>
        <w:jc w:val="both"/>
        <w:rPr>
          <w:rFonts w:ascii="Cambria" w:hAnsi="Cambria"/>
          <w:i/>
        </w:rPr>
      </w:pPr>
      <w:r w:rsidRPr="003A613E">
        <w:rPr>
          <w:rFonts w:ascii="Cambria" w:hAnsi="Cambria"/>
        </w:rPr>
        <w:t xml:space="preserve">el artículo 80 del citado Reglamento, dispone: </w:t>
      </w:r>
      <w:r w:rsidRPr="003A613E">
        <w:rPr>
          <w:rFonts w:ascii="Cambria" w:hAnsi="Cambria"/>
          <w:i/>
        </w:rPr>
        <w:t>“Sobre la base de los resultados de la constatación física efectuada, en cuyas conclusiones se determine la existencia de bienes o inventarios inservibles, obsoletos o que hubieren dejado de usarse, se informará al titular de la entidad u organismo, o su delegado para que autorice el correspondiente proceso de egreso o baja. Cuando se trate de equipos informáticos, eléctricos, electrónicos, maquinaria y/o vehículos, se adjuntará el respectivo informe técnico, elaborado por la unidad correspondiente considerando la naturaleza del bien. Si en el informe técnico se determina que los bienes o inventarios todavía son necesarios para la entidad u organismo, concluirá el trámite para aquellos bienes y se archivará el expediente. Caso contrario, se procederá de conformidad con las normas señaladas para los procesos de remate, venta, permuta, transferencia gratuita, traspaso, chatarrización, reciclaje, destrucción, según corresponda, observando para el efecto, las características de registros señaladas en la normativa pertinente. Cuando se presuma de la existencia de bienes que tengan un valor histórico, se observará lo preceptuado</w:t>
      </w:r>
      <w:r w:rsidR="00B4020C" w:rsidRPr="003A613E">
        <w:rPr>
          <w:rFonts w:ascii="Cambria" w:hAnsi="Cambria"/>
          <w:i/>
        </w:rPr>
        <w:t xml:space="preserve"> en la Ley Orgánica de Cultura.”</w:t>
      </w:r>
    </w:p>
    <w:p w:rsidR="00140466" w:rsidRDefault="00140466" w:rsidP="00140466">
      <w:pPr>
        <w:pStyle w:val="Prrafodelista"/>
        <w:autoSpaceDE w:val="0"/>
        <w:autoSpaceDN w:val="0"/>
        <w:adjustRightInd w:val="0"/>
        <w:jc w:val="both"/>
        <w:rPr>
          <w:rFonts w:ascii="Cambria" w:hAnsi="Cambria"/>
          <w:i/>
        </w:rPr>
      </w:pPr>
    </w:p>
    <w:p w:rsidR="00D83E1A" w:rsidRDefault="00D83E1A" w:rsidP="00140466">
      <w:pPr>
        <w:pStyle w:val="Prrafodelista"/>
        <w:autoSpaceDE w:val="0"/>
        <w:autoSpaceDN w:val="0"/>
        <w:adjustRightInd w:val="0"/>
        <w:jc w:val="both"/>
        <w:rPr>
          <w:rFonts w:ascii="Cambria" w:hAnsi="Cambria"/>
          <w:i/>
        </w:rPr>
      </w:pPr>
    </w:p>
    <w:p w:rsidR="00D83E1A" w:rsidRDefault="00D83E1A" w:rsidP="00140466">
      <w:pPr>
        <w:pStyle w:val="Prrafodelista"/>
        <w:autoSpaceDE w:val="0"/>
        <w:autoSpaceDN w:val="0"/>
        <w:adjustRightInd w:val="0"/>
        <w:jc w:val="both"/>
        <w:rPr>
          <w:rFonts w:ascii="Cambria" w:hAnsi="Cambria"/>
          <w:i/>
        </w:rPr>
      </w:pPr>
    </w:p>
    <w:p w:rsidR="00D83E1A" w:rsidRDefault="00D83E1A" w:rsidP="00140466">
      <w:pPr>
        <w:pStyle w:val="Prrafodelista"/>
        <w:autoSpaceDE w:val="0"/>
        <w:autoSpaceDN w:val="0"/>
        <w:adjustRightInd w:val="0"/>
        <w:jc w:val="both"/>
        <w:rPr>
          <w:rFonts w:ascii="Cambria" w:hAnsi="Cambria"/>
          <w:i/>
        </w:rPr>
      </w:pPr>
    </w:p>
    <w:p w:rsidR="00D83E1A" w:rsidRPr="003A613E" w:rsidRDefault="00D83E1A" w:rsidP="00140466">
      <w:pPr>
        <w:pStyle w:val="Prrafodelista"/>
        <w:autoSpaceDE w:val="0"/>
        <w:autoSpaceDN w:val="0"/>
        <w:adjustRightInd w:val="0"/>
        <w:jc w:val="both"/>
        <w:rPr>
          <w:rFonts w:ascii="Cambria" w:hAnsi="Cambria"/>
          <w:i/>
        </w:rPr>
      </w:pPr>
    </w:p>
    <w:p w:rsidR="00140466" w:rsidRPr="003A613E" w:rsidRDefault="00140466" w:rsidP="00B4020C">
      <w:pPr>
        <w:pStyle w:val="Prrafodelista"/>
        <w:numPr>
          <w:ilvl w:val="0"/>
          <w:numId w:val="2"/>
        </w:numPr>
        <w:spacing w:after="206"/>
        <w:ind w:right="-10"/>
        <w:contextualSpacing w:val="0"/>
        <w:jc w:val="both"/>
        <w:rPr>
          <w:rFonts w:ascii="Cambria" w:hAnsi="Cambria"/>
          <w:i/>
        </w:rPr>
      </w:pPr>
      <w:r w:rsidRPr="003A613E">
        <w:rPr>
          <w:rFonts w:ascii="Cambria" w:hAnsi="Cambria"/>
        </w:rPr>
        <w:lastRenderedPageBreak/>
        <w:t xml:space="preserve">El artículo 130 de la ley Ibídem, respecto de los actos por los cuales se transfiere </w:t>
      </w:r>
      <w:r w:rsidRPr="003A613E">
        <w:rPr>
          <w:rStyle w:val="hit"/>
          <w:rFonts w:ascii="Cambria" w:hAnsi="Cambria"/>
        </w:rPr>
        <w:t>gratuita</w:t>
      </w:r>
      <w:r w:rsidRPr="003A613E">
        <w:rPr>
          <w:rFonts w:ascii="Cambria" w:hAnsi="Cambria"/>
        </w:rPr>
        <w:t>mente el dominio de un bien manifiesta</w:t>
      </w:r>
      <w:r w:rsidRPr="003A613E">
        <w:rPr>
          <w:rFonts w:ascii="Cambria" w:hAnsi="Cambria"/>
          <w:i/>
        </w:rPr>
        <w:t xml:space="preserve">: </w:t>
      </w:r>
      <w:r w:rsidR="00EB625C" w:rsidRPr="003A613E">
        <w:rPr>
          <w:rFonts w:ascii="Cambria" w:hAnsi="Cambria"/>
          <w:i/>
        </w:rPr>
        <w:t>“</w:t>
      </w:r>
      <w:r w:rsidRPr="003A613E">
        <w:rPr>
          <w:rFonts w:ascii="Cambria" w:hAnsi="Cambria"/>
          <w:i/>
        </w:rPr>
        <w:t xml:space="preserve">a) </w:t>
      </w:r>
      <w:r w:rsidRPr="003A613E">
        <w:rPr>
          <w:rStyle w:val="hit"/>
          <w:rFonts w:ascii="Cambria" w:hAnsi="Cambria"/>
          <w:i/>
        </w:rPr>
        <w:t>Transferencia</w:t>
      </w:r>
      <w:r w:rsidRPr="003A613E">
        <w:rPr>
          <w:rFonts w:ascii="Cambria" w:hAnsi="Cambria"/>
          <w:i/>
        </w:rPr>
        <w:t xml:space="preserve"> </w:t>
      </w:r>
      <w:r w:rsidRPr="003A613E">
        <w:rPr>
          <w:rStyle w:val="hit"/>
          <w:rFonts w:ascii="Cambria" w:hAnsi="Cambria"/>
          <w:i/>
        </w:rPr>
        <w:t>gratuita</w:t>
      </w:r>
      <w:r w:rsidRPr="003A613E">
        <w:rPr>
          <w:rFonts w:ascii="Cambria" w:hAnsi="Cambria"/>
          <w:i/>
        </w:rPr>
        <w:t xml:space="preserve">. - Que se aplicará para los casos de </w:t>
      </w:r>
      <w:r w:rsidRPr="003A613E">
        <w:rPr>
          <w:rStyle w:val="hit"/>
          <w:rFonts w:ascii="Cambria" w:hAnsi="Cambria"/>
          <w:i/>
        </w:rPr>
        <w:t>transferencia</w:t>
      </w:r>
      <w:r w:rsidRPr="003A613E">
        <w:rPr>
          <w:rFonts w:ascii="Cambria" w:hAnsi="Cambria"/>
          <w:i/>
        </w:rPr>
        <w:t xml:space="preserve"> de bienes a entidades u organismos público</w:t>
      </w:r>
      <w:r w:rsidR="00B4020C" w:rsidRPr="003A613E">
        <w:rPr>
          <w:rFonts w:ascii="Cambria" w:hAnsi="Cambria"/>
          <w:i/>
        </w:rPr>
        <w:t>s con persona jurídica distinta.</w:t>
      </w:r>
      <w:r w:rsidR="00EB625C" w:rsidRPr="003A613E">
        <w:rPr>
          <w:rFonts w:ascii="Cambria" w:hAnsi="Cambria"/>
          <w:i/>
        </w:rPr>
        <w:t>”</w:t>
      </w:r>
    </w:p>
    <w:p w:rsidR="00140466" w:rsidRPr="003A613E" w:rsidRDefault="00140466" w:rsidP="00B4020C">
      <w:pPr>
        <w:pStyle w:val="Prrafodelista"/>
        <w:numPr>
          <w:ilvl w:val="0"/>
          <w:numId w:val="2"/>
        </w:numPr>
        <w:spacing w:after="206"/>
        <w:ind w:right="-10"/>
        <w:contextualSpacing w:val="0"/>
        <w:jc w:val="both"/>
        <w:rPr>
          <w:rFonts w:ascii="Cambria" w:hAnsi="Cambria"/>
        </w:rPr>
      </w:pPr>
      <w:r w:rsidRPr="003A613E">
        <w:rPr>
          <w:rFonts w:ascii="Cambria" w:hAnsi="Cambria"/>
        </w:rPr>
        <w:t xml:space="preserve">el artículo 131 del referido Reglamento, señala que: </w:t>
      </w:r>
      <w:r w:rsidRPr="003A613E">
        <w:rPr>
          <w:rFonts w:ascii="Cambria" w:hAnsi="Cambria"/>
          <w:i/>
        </w:rPr>
        <w:t>“A efecto de que la máxima autoridad, o su delegado resuelva lo pertinente, será necesario que el titular de la Unidad Administrativa, o quien hiciera sus veces, emita un informe luego de la constatación física en la que se evidenció el estado de los bienes y respaldada por el respectivo informe técnico al tratarse de bienes informáticos, eléctricos, electrónicos, maquinaria o vehículos. En dicho informe deberá constar que no fue posible o conveniente la venta de estos bienes.”</w:t>
      </w:r>
    </w:p>
    <w:p w:rsidR="00140466" w:rsidRPr="003A613E" w:rsidRDefault="00140466" w:rsidP="00B4020C">
      <w:pPr>
        <w:pStyle w:val="Prrafodelista"/>
        <w:numPr>
          <w:ilvl w:val="0"/>
          <w:numId w:val="2"/>
        </w:numPr>
        <w:spacing w:after="206"/>
        <w:ind w:right="-10"/>
        <w:jc w:val="both"/>
        <w:rPr>
          <w:rFonts w:ascii="Cambria" w:hAnsi="Cambria"/>
        </w:rPr>
      </w:pPr>
      <w:r w:rsidRPr="003A613E">
        <w:rPr>
          <w:rFonts w:ascii="Cambria" w:hAnsi="Cambria"/>
        </w:rPr>
        <w:t xml:space="preserve">El artículo 132 del mencionado Reglamento establece: Valor. – </w:t>
      </w:r>
      <w:r w:rsidRPr="003A613E">
        <w:rPr>
          <w:rFonts w:ascii="Cambria" w:hAnsi="Cambria"/>
          <w:i/>
        </w:rPr>
        <w:t>“El valor de los bienes objeto de la transferencia gratuita será el que conste en los registros contables de la entidad u organismo que los hubiere tenido a su cargo, el registro contable del hecho económico se regirá a lo establecido por el ente rector de las finanzas públicas. (…)”</w:t>
      </w:r>
    </w:p>
    <w:p w:rsidR="00946522" w:rsidRPr="003A613E" w:rsidRDefault="00946522" w:rsidP="00AF1BF7">
      <w:pPr>
        <w:pStyle w:val="Prrafodelista"/>
        <w:spacing w:after="206"/>
        <w:ind w:right="-10"/>
        <w:jc w:val="both"/>
        <w:rPr>
          <w:rFonts w:ascii="Cambria" w:hAnsi="Cambria"/>
        </w:rPr>
      </w:pPr>
    </w:p>
    <w:p w:rsidR="00B4020C" w:rsidRPr="003A613E" w:rsidRDefault="00B4020C" w:rsidP="00B4020C">
      <w:pPr>
        <w:pStyle w:val="Prrafodelista"/>
        <w:numPr>
          <w:ilvl w:val="0"/>
          <w:numId w:val="2"/>
        </w:numPr>
        <w:spacing w:after="206"/>
        <w:ind w:right="-10"/>
        <w:jc w:val="both"/>
        <w:rPr>
          <w:rFonts w:ascii="Cambria" w:hAnsi="Cambria"/>
        </w:rPr>
      </w:pPr>
      <w:r w:rsidRPr="003A613E">
        <w:rPr>
          <w:rFonts w:ascii="Cambria" w:hAnsi="Cambria"/>
        </w:rPr>
        <w:t>El artículo 133 ibídem señala: "</w:t>
      </w:r>
      <w:r w:rsidRPr="003A613E">
        <w:rPr>
          <w:rFonts w:ascii="Cambria" w:hAnsi="Cambria"/>
          <w:i/>
        </w:rPr>
        <w:t>Entrega-Recepción. - Realizado el avalúo, si fuere el caso, se efectuará la entrega recepción de los bienes, dejando constancia de ello en el acta entrega recepción de bienes que suscribirán inmediatamente los Guardalmacenes o quienes hagan sus veces, el titular de la Unidad Administrativa, y el titular de la Unidad Financiera d</w:t>
      </w:r>
      <w:r w:rsidRPr="003A613E">
        <w:rPr>
          <w:rFonts w:ascii="Cambria" w:hAnsi="Cambria"/>
        </w:rPr>
        <w:t xml:space="preserve">e </w:t>
      </w:r>
      <w:r w:rsidRPr="003A613E">
        <w:rPr>
          <w:rFonts w:ascii="Cambria" w:hAnsi="Cambria"/>
          <w:i/>
        </w:rPr>
        <w:t>la entidad u organismo que efectúa la transferencia gratuita</w:t>
      </w:r>
      <w:r w:rsidRPr="003A613E">
        <w:rPr>
          <w:rFonts w:ascii="Cambria" w:hAnsi="Cambria"/>
        </w:rPr>
        <w:t>.</w:t>
      </w:r>
      <w:r w:rsidRPr="003A613E">
        <w:rPr>
          <w:rFonts w:ascii="Cambria" w:hAnsi="Cambria"/>
          <w:i/>
        </w:rPr>
        <w:t>"</w:t>
      </w:r>
    </w:p>
    <w:p w:rsidR="00B4020C" w:rsidRPr="003A613E" w:rsidRDefault="00B4020C" w:rsidP="00B4020C">
      <w:pPr>
        <w:pStyle w:val="Prrafodelista"/>
        <w:rPr>
          <w:rFonts w:ascii="Cambria" w:hAnsi="Cambria"/>
        </w:rPr>
      </w:pPr>
    </w:p>
    <w:p w:rsidR="00B4020C" w:rsidRPr="003A613E" w:rsidRDefault="00B4020C" w:rsidP="00B4020C">
      <w:pPr>
        <w:pStyle w:val="Prrafodelista"/>
        <w:numPr>
          <w:ilvl w:val="0"/>
          <w:numId w:val="2"/>
        </w:numPr>
        <w:autoSpaceDE w:val="0"/>
        <w:autoSpaceDN w:val="0"/>
        <w:adjustRightInd w:val="0"/>
        <w:jc w:val="both"/>
        <w:rPr>
          <w:rFonts w:cs="Calibri"/>
          <w:i/>
        </w:rPr>
      </w:pPr>
      <w:r w:rsidRPr="003A613E">
        <w:rPr>
          <w:rFonts w:cs="Calibri"/>
        </w:rPr>
        <w:t>El artículo 159 del Reglamento General Sustitutivo para la Administración, Utilización, Manejo y Control de los Bienes e Inventarios del Sector Público prescribe que:</w:t>
      </w:r>
      <w:r w:rsidRPr="003A613E">
        <w:rPr>
          <w:rFonts w:cs="Calibri"/>
          <w:i/>
        </w:rPr>
        <w:t xml:space="preserve"> "Traspaso es el cambio de asignación de uno o varios bienes o inventarios sean nuevos o usados, que una entidad u organismo, trasladará en favor de otra entidad u organismo dependiente de la misma persona jurídica que requiera para el cumplimiento de su misión, visión y objetivos, como es el caso de los ministerios y secretarias de Estado o sus dependencias adscritas. Cuando intervengan dos personas jurídicas distintas no habrá traspaso sino transferencia gratuita y en este evento se sujetará a las normas establecidas para </w:t>
      </w:r>
      <w:r w:rsidRPr="003A613E">
        <w:rPr>
          <w:rFonts w:cs="Calibri"/>
          <w:i/>
          <w:iCs/>
          <w:color w:val="000000"/>
        </w:rPr>
        <w:t>este proceso.”</w:t>
      </w:r>
    </w:p>
    <w:p w:rsidR="00B4020C" w:rsidRPr="003A613E" w:rsidRDefault="00B4020C" w:rsidP="00B4020C">
      <w:pPr>
        <w:pStyle w:val="Prrafodelista"/>
        <w:rPr>
          <w:rFonts w:cs="Calibri"/>
          <w:i/>
        </w:rPr>
      </w:pPr>
    </w:p>
    <w:p w:rsidR="00B4020C" w:rsidRPr="003A613E" w:rsidRDefault="00B4020C" w:rsidP="00B4020C">
      <w:pPr>
        <w:pStyle w:val="Prrafodelista"/>
        <w:numPr>
          <w:ilvl w:val="0"/>
          <w:numId w:val="2"/>
        </w:numPr>
        <w:autoSpaceDE w:val="0"/>
        <w:autoSpaceDN w:val="0"/>
        <w:adjustRightInd w:val="0"/>
        <w:jc w:val="both"/>
        <w:rPr>
          <w:rFonts w:ascii="Cambria" w:hAnsi="Cambria"/>
        </w:rPr>
      </w:pPr>
      <w:r w:rsidRPr="003A613E">
        <w:rPr>
          <w:rFonts w:ascii="Cambria" w:hAnsi="Cambria"/>
        </w:rPr>
        <w:t xml:space="preserve">El artículo 161 del citado Reglamento determina que: </w:t>
      </w:r>
      <w:r w:rsidRPr="003A613E">
        <w:rPr>
          <w:rFonts w:ascii="Cambria" w:hAnsi="Cambria"/>
          <w:i/>
        </w:rPr>
        <w:t>“Las máximas autoridades o sus delegados de las entidades u organismos que intervengan, autorizarán la celebración del traspaso, mediante acuerdo entre las partes (...)</w:t>
      </w:r>
      <w:r w:rsidR="00946522" w:rsidRPr="003A613E">
        <w:rPr>
          <w:rFonts w:ascii="Cambria" w:hAnsi="Cambria"/>
          <w:i/>
        </w:rPr>
        <w:t>.”</w:t>
      </w:r>
    </w:p>
    <w:p w:rsidR="00B4020C" w:rsidRPr="003A613E" w:rsidRDefault="00B4020C" w:rsidP="00B4020C">
      <w:pPr>
        <w:pStyle w:val="Prrafodelista"/>
        <w:rPr>
          <w:rFonts w:ascii="Cambria" w:hAnsi="Cambria"/>
        </w:rPr>
      </w:pPr>
    </w:p>
    <w:p w:rsidR="00B4020C" w:rsidRPr="00D83E1A" w:rsidRDefault="00B4020C" w:rsidP="00B4020C">
      <w:pPr>
        <w:pStyle w:val="Prrafodelista"/>
        <w:numPr>
          <w:ilvl w:val="0"/>
          <w:numId w:val="2"/>
        </w:numPr>
        <w:autoSpaceDE w:val="0"/>
        <w:autoSpaceDN w:val="0"/>
        <w:adjustRightInd w:val="0"/>
        <w:jc w:val="both"/>
        <w:rPr>
          <w:rFonts w:ascii="Cambria" w:hAnsi="Cambria"/>
        </w:rPr>
      </w:pPr>
      <w:r w:rsidRPr="003A613E">
        <w:rPr>
          <w:rFonts w:ascii="Cambria" w:hAnsi="Cambria"/>
        </w:rPr>
        <w:t>El Estatuto del Régimen Jurídico y Administrativo de la Función Ejecutiva en su artículo 17 faculta a</w:t>
      </w:r>
      <w:r w:rsidRPr="003A613E">
        <w:rPr>
          <w:rFonts w:ascii="Cambria" w:hAnsi="Cambria"/>
          <w:i/>
        </w:rPr>
        <w:t xml:space="preserve">: “Los Ministros de Estado, dentro de la esfera de su competencia, podrán delegar sus atribuciones y deberes al funcionario inferior jerárquico de sus respectivos Ministerios, cuando se ausenten en comisión de servicios al exterior o </w:t>
      </w:r>
      <w:r w:rsidR="002F7B41" w:rsidRPr="003A613E">
        <w:rPr>
          <w:rFonts w:ascii="Cambria" w:hAnsi="Cambria"/>
          <w:i/>
        </w:rPr>
        <w:t>cuando lo estimen conveniente (</w:t>
      </w:r>
      <w:r w:rsidRPr="003A613E">
        <w:rPr>
          <w:rFonts w:ascii="Cambria" w:hAnsi="Cambria"/>
          <w:i/>
        </w:rPr>
        <w:t>...)”</w:t>
      </w:r>
    </w:p>
    <w:p w:rsidR="00D83E1A" w:rsidRPr="00D83E1A" w:rsidRDefault="00D83E1A" w:rsidP="00D83E1A">
      <w:pPr>
        <w:autoSpaceDE w:val="0"/>
        <w:autoSpaceDN w:val="0"/>
        <w:adjustRightInd w:val="0"/>
        <w:jc w:val="both"/>
        <w:rPr>
          <w:rFonts w:ascii="Cambria" w:hAnsi="Cambria"/>
        </w:rPr>
      </w:pPr>
    </w:p>
    <w:p w:rsidR="00B4020C" w:rsidRPr="003A613E" w:rsidRDefault="00B4020C" w:rsidP="00B4020C">
      <w:pPr>
        <w:autoSpaceDE w:val="0"/>
        <w:autoSpaceDN w:val="0"/>
        <w:adjustRightInd w:val="0"/>
        <w:jc w:val="both"/>
        <w:rPr>
          <w:rFonts w:ascii="Cambria" w:hAnsi="Cambria"/>
          <w:b/>
          <w:sz w:val="20"/>
          <w:szCs w:val="20"/>
        </w:rPr>
      </w:pPr>
      <w:r w:rsidRPr="003A613E">
        <w:rPr>
          <w:rFonts w:ascii="Cambria" w:hAnsi="Cambria"/>
          <w:b/>
          <w:sz w:val="20"/>
          <w:szCs w:val="20"/>
        </w:rPr>
        <w:lastRenderedPageBreak/>
        <w:t>ANTECEDENTES:</w:t>
      </w:r>
    </w:p>
    <w:p w:rsidR="00B4020C" w:rsidRPr="003A613E" w:rsidRDefault="00B4020C" w:rsidP="00B4020C">
      <w:pPr>
        <w:autoSpaceDE w:val="0"/>
        <w:autoSpaceDN w:val="0"/>
        <w:adjustRightInd w:val="0"/>
        <w:jc w:val="both"/>
        <w:rPr>
          <w:rFonts w:ascii="Cambria" w:hAnsi="Cambria"/>
          <w:b/>
          <w:sz w:val="20"/>
          <w:szCs w:val="20"/>
        </w:rPr>
      </w:pPr>
    </w:p>
    <w:p w:rsidR="00B4020C" w:rsidRPr="003A613E" w:rsidRDefault="00B4020C" w:rsidP="00B4020C">
      <w:pPr>
        <w:autoSpaceDE w:val="0"/>
        <w:autoSpaceDN w:val="0"/>
        <w:adjustRightInd w:val="0"/>
        <w:jc w:val="both"/>
        <w:rPr>
          <w:rFonts w:ascii="Cambria" w:hAnsi="Cambria"/>
          <w:b/>
          <w:sz w:val="20"/>
          <w:szCs w:val="20"/>
        </w:rPr>
      </w:pPr>
    </w:p>
    <w:p w:rsidR="00B4020C" w:rsidRPr="003A613E" w:rsidRDefault="00B4020C" w:rsidP="00B4020C">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t xml:space="preserve">Mediante el artículo 3 del Acuerdo Ministerial Nro. 0193 de 17 de julio de 2012, el señor Ministro de Economía y Finanzas, dispuso: </w:t>
      </w:r>
      <w:r w:rsidRPr="003A613E">
        <w:rPr>
          <w:rFonts w:ascii="Cambria" w:hAnsi="Cambria"/>
          <w:i/>
        </w:rPr>
        <w:t>“Art. 3.- Para el uso del Sistema de Autenticación Biométrica, el Ministerio de Finanzas entregará en comodato a la Entidad o Institución, el correspondiente Kit Biométrico para la aplicación del Sistema. Mismos que son de carácter intransferible, y su buen uso es de responsabilidad absoluta de la Institución y del usuario que esta designe.”</w:t>
      </w:r>
    </w:p>
    <w:p w:rsidR="00C840CD" w:rsidRPr="003A613E" w:rsidRDefault="00C840CD" w:rsidP="00C840CD">
      <w:pPr>
        <w:pStyle w:val="Prrafodelista"/>
        <w:autoSpaceDE w:val="0"/>
        <w:autoSpaceDN w:val="0"/>
        <w:adjustRightInd w:val="0"/>
        <w:jc w:val="both"/>
        <w:rPr>
          <w:rFonts w:ascii="Cambria" w:hAnsi="Cambria"/>
          <w:sz w:val="20"/>
          <w:szCs w:val="20"/>
        </w:rPr>
      </w:pPr>
    </w:p>
    <w:p w:rsidR="00C840CD" w:rsidRPr="003A613E" w:rsidRDefault="00C840CD" w:rsidP="00B4020C">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t>Mediante Acuerdo Ministerial Nro. 0103 de 27 de agosto de 2018, el señor Ministro de Economía y Finanzas, en su artículo 1, literal b), delega al titular de la   Coordinación General Administrativa Financiera: “</w:t>
      </w:r>
      <w:r w:rsidRPr="003A613E">
        <w:rPr>
          <w:rFonts w:ascii="Cambria" w:hAnsi="Cambria"/>
          <w:i/>
        </w:rPr>
        <w:t>Con relación a los bienes muebles de propiedad del Ministerio de Economía y Finanzas, suscribir y ejecutar todos los actos administrativos e instrumentos jurídicos necesarios para proceder a su enajenación, transferencia gratuita, entrega en comodato y arrendamiento, disponer la baja y/o autorizar su destrucción y/o chatarrización de acuerdo a la naturaleza de los bienes; considerando para estos efectos las disposiciones contenidas en el Reglamento General para la Administración Utilización, Manejo y Control de los Bienes e Inventarios del Sector Público, y demás normativa aplicable, para lo cual</w:t>
      </w:r>
      <w:r w:rsidRPr="003A613E">
        <w:rPr>
          <w:rFonts w:ascii="Cambria" w:hAnsi="Cambria"/>
        </w:rPr>
        <w:t xml:space="preserve"> </w:t>
      </w:r>
      <w:r w:rsidRPr="003A613E">
        <w:rPr>
          <w:rFonts w:ascii="Cambria" w:hAnsi="Cambria"/>
          <w:i/>
        </w:rPr>
        <w:t>queda facultado para conformar las comisiones que fueran necesarias</w:t>
      </w:r>
      <w:r w:rsidR="00946522" w:rsidRPr="003A613E">
        <w:rPr>
          <w:rFonts w:ascii="Cambria" w:hAnsi="Cambria"/>
          <w:i/>
        </w:rPr>
        <w:t>.”</w:t>
      </w:r>
    </w:p>
    <w:p w:rsidR="00C840CD" w:rsidRPr="003A613E" w:rsidRDefault="00C840CD" w:rsidP="00C840CD">
      <w:pPr>
        <w:pStyle w:val="Prrafodelista"/>
        <w:rPr>
          <w:rFonts w:ascii="Cambria" w:hAnsi="Cambria"/>
          <w:b/>
          <w:sz w:val="20"/>
          <w:szCs w:val="20"/>
        </w:rPr>
      </w:pPr>
    </w:p>
    <w:p w:rsidR="00C840CD" w:rsidRPr="003A613E" w:rsidRDefault="00C840CD" w:rsidP="00B4020C">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t>Mediante Memorando Nro. MEF-DL-2017-0884-M de 24 de julio de 2017, el Director de Logística Institucional, Encargado, remitió al</w:t>
      </w:r>
      <w:r w:rsidRPr="003A613E">
        <w:rPr>
          <w:rFonts w:ascii="Cambria" w:hAnsi="Cambria"/>
          <w:bCs/>
          <w:lang w:val="es-419"/>
        </w:rPr>
        <w:t xml:space="preserve"> Coordinador General Administrativo Financiero, el informe para la entrega de equipos biométricos a las entidades del sector público, en transferencia gratuita.</w:t>
      </w:r>
    </w:p>
    <w:p w:rsidR="00C840CD" w:rsidRPr="003A613E" w:rsidRDefault="00C840CD" w:rsidP="00C840CD">
      <w:pPr>
        <w:pStyle w:val="Prrafodelista"/>
        <w:rPr>
          <w:rFonts w:ascii="Cambria" w:hAnsi="Cambria"/>
          <w:sz w:val="20"/>
          <w:szCs w:val="20"/>
        </w:rPr>
      </w:pPr>
    </w:p>
    <w:p w:rsidR="00C840CD" w:rsidRPr="003A613E" w:rsidRDefault="00C840CD" w:rsidP="00B4020C">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t>Mediante Memorando Nro. MEF-DF-2017-0494-M de 13 de septiembre de 2017, el</w:t>
      </w:r>
      <w:r w:rsidRPr="003A613E">
        <w:rPr>
          <w:rFonts w:ascii="Cambria" w:hAnsi="Cambria"/>
          <w:bCs/>
          <w:lang w:val="es-419"/>
        </w:rPr>
        <w:t xml:space="preserve"> Director Financiero, informó al Coordinador General Administrativo Financiero, que: </w:t>
      </w:r>
      <w:r w:rsidRPr="003A613E">
        <w:rPr>
          <w:rFonts w:ascii="Cambria" w:hAnsi="Cambria"/>
          <w:bCs/>
          <w:i/>
          <w:lang w:val="es-419"/>
        </w:rPr>
        <w:t>“En referencia al memorando Nro. MEF-DL-2017-0884-M del 24 de julio del 2017, con el cual la Dirección de Logística sugiere que el kit biométrico sea entregado en Transferencia Gratuita o Donación, cumpliendo lo que establece el Reglamento General para la Administración, Utilización, Manejo y Control de los Bienes y Existencias del Sector Público, Sección IV, De Las Transferencia Gratuitas</w:t>
      </w:r>
      <w:r w:rsidR="002F7B41" w:rsidRPr="003A613E">
        <w:rPr>
          <w:rFonts w:ascii="Cambria" w:hAnsi="Cambria"/>
          <w:bCs/>
          <w:i/>
          <w:lang w:val="es-419"/>
        </w:rPr>
        <w:t xml:space="preserve"> (</w:t>
      </w:r>
      <w:r w:rsidRPr="003A613E">
        <w:rPr>
          <w:rFonts w:ascii="Cambria" w:hAnsi="Cambria"/>
          <w:bCs/>
          <w:i/>
          <w:lang w:val="es-419"/>
        </w:rPr>
        <w:t>….</w:t>
      </w:r>
      <w:r w:rsidR="002F7B41" w:rsidRPr="003A613E">
        <w:rPr>
          <w:rFonts w:ascii="Cambria" w:hAnsi="Cambria"/>
          <w:bCs/>
          <w:i/>
          <w:lang w:val="es-419"/>
        </w:rPr>
        <w:t>)</w:t>
      </w:r>
      <w:r w:rsidRPr="003A613E">
        <w:rPr>
          <w:rFonts w:ascii="Cambria" w:hAnsi="Cambria"/>
          <w:bCs/>
          <w:i/>
          <w:lang w:val="es-419"/>
        </w:rPr>
        <w:t xml:space="preserve"> si luego de analizar y absolver las sugerencias planteadas por la Dirección Financiera, considero que los bienes son susceptibles de donación, para lo cual se deberá establecer el debido proceso en base al Reglamento.”</w:t>
      </w:r>
    </w:p>
    <w:p w:rsidR="00C840CD" w:rsidRPr="003A613E" w:rsidRDefault="00C840CD" w:rsidP="00C840CD">
      <w:pPr>
        <w:pStyle w:val="Prrafodelista"/>
        <w:rPr>
          <w:rFonts w:ascii="Cambria" w:hAnsi="Cambria"/>
          <w:sz w:val="20"/>
          <w:szCs w:val="20"/>
        </w:rPr>
      </w:pPr>
    </w:p>
    <w:p w:rsidR="00C840CD" w:rsidRPr="003A613E" w:rsidRDefault="00C840CD" w:rsidP="00B4020C">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t xml:space="preserve">Mediante Memorando Nro. MEF-DNCS-2017-0107-M de 22 de noviembre de 2017, la Directora Nacional del Centro de Servicios, Encargada, informó al Director de Logística Institucional, Encargado, que: </w:t>
      </w:r>
      <w:r w:rsidRPr="003A613E">
        <w:rPr>
          <w:rFonts w:ascii="Cambria" w:hAnsi="Cambria"/>
          <w:i/>
        </w:rPr>
        <w:t>“</w:t>
      </w:r>
      <w:r w:rsidR="002F7B41" w:rsidRPr="003A613E">
        <w:rPr>
          <w:rFonts w:ascii="Cambria" w:hAnsi="Cambria"/>
          <w:i/>
        </w:rPr>
        <w:t>(</w:t>
      </w:r>
      <w:r w:rsidRPr="003A613E">
        <w:rPr>
          <w:rFonts w:ascii="Cambria" w:hAnsi="Cambria"/>
          <w:i/>
        </w:rPr>
        <w:t>…</w:t>
      </w:r>
      <w:r w:rsidR="002F7B41" w:rsidRPr="003A613E">
        <w:rPr>
          <w:rFonts w:ascii="Cambria" w:hAnsi="Cambria"/>
          <w:i/>
        </w:rPr>
        <w:t>)</w:t>
      </w:r>
      <w:r w:rsidRPr="003A613E">
        <w:rPr>
          <w:rFonts w:ascii="Cambria" w:hAnsi="Cambria"/>
          <w:i/>
        </w:rPr>
        <w:t xml:space="preserve"> en el caso de entregar el kit biométrico en transferencia gratuita o donación, el MEF seguirá administrando de manera exclusiva el uso del dispositivo por entidad mediante el control de huellas, dispositivos y equipo que se registran en el sistema </w:t>
      </w:r>
      <w:proofErr w:type="spellStart"/>
      <w:r w:rsidRPr="003A613E">
        <w:rPr>
          <w:rFonts w:ascii="Cambria" w:hAnsi="Cambria"/>
          <w:i/>
        </w:rPr>
        <w:t>Biometrika</w:t>
      </w:r>
      <w:proofErr w:type="spellEnd"/>
      <w:r w:rsidRPr="003A613E">
        <w:rPr>
          <w:rFonts w:ascii="Cambria" w:hAnsi="Cambria"/>
          <w:i/>
        </w:rPr>
        <w:t>.”</w:t>
      </w:r>
    </w:p>
    <w:p w:rsidR="00C840CD" w:rsidRPr="003A613E" w:rsidRDefault="00C840CD" w:rsidP="00C840CD">
      <w:pPr>
        <w:pStyle w:val="Prrafodelista"/>
        <w:rPr>
          <w:rFonts w:ascii="Cambria" w:hAnsi="Cambria"/>
          <w:sz w:val="20"/>
          <w:szCs w:val="20"/>
        </w:rPr>
      </w:pPr>
    </w:p>
    <w:p w:rsidR="00C840CD" w:rsidRPr="003A613E" w:rsidRDefault="00C840CD" w:rsidP="00B4020C">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lastRenderedPageBreak/>
        <w:t>Mediante reunión de trabajo de 01 de marzo de 2019,  que participaron el Director Nacional de Centro de Servicios, Subrogante; el Director Financiero; la Analista de la Dirección Jurídica de Contratación Púbica y Laboral; el Guardalmacén de Activos Fijos; y, el Director de Logística Institucional, Encargado, conforme reposa de la respectiva acta de reunión, se acordó reactivar el proceso de Transferencia Gratuita de los equipos biométricos de acceso al Sistema de las Finanzas Públicas, con el objetivo de dar cumplimiento a lo que establece el Reglamento General Sustitutivo para la Administración, Utilización, Manejo y Control de los Bienes e Inventarios del Sector Público.</w:t>
      </w:r>
    </w:p>
    <w:p w:rsidR="00C840CD" w:rsidRPr="003A613E" w:rsidRDefault="00C840CD" w:rsidP="00C840CD">
      <w:pPr>
        <w:pStyle w:val="Prrafodelista"/>
        <w:rPr>
          <w:rFonts w:ascii="Cambria" w:hAnsi="Cambria"/>
          <w:sz w:val="20"/>
          <w:szCs w:val="20"/>
        </w:rPr>
      </w:pPr>
    </w:p>
    <w:p w:rsidR="00C840CD" w:rsidRPr="003A613E" w:rsidRDefault="00C840CD" w:rsidP="00B4020C">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t>Mediante Memorando Nro. MEF-DL-2019-0215-M de 07 de marzo de 2019, el</w:t>
      </w:r>
      <w:r w:rsidRPr="003A613E">
        <w:rPr>
          <w:rFonts w:ascii="Cambria" w:hAnsi="Cambria" w:cs="Times-Roman"/>
          <w:lang w:val="es-ES"/>
        </w:rPr>
        <w:t xml:space="preserve"> Guardalmacén de Activos Fijos, remitió al Director de Logística Institucional, Encargado, el proyecto para entrega de equipos biométricos a las entidades del sector público en transferencia gratuita, en el que se recomendó: </w:t>
      </w:r>
      <w:r w:rsidRPr="003A613E">
        <w:rPr>
          <w:rFonts w:ascii="Cambria" w:hAnsi="Cambria" w:cs="Times-Roman"/>
          <w:i/>
          <w:lang w:val="es-ES"/>
        </w:rPr>
        <w:t>“En razón de las responsabilidades planteadas anteriormente, se sugiere solicitar nuevamente informes que permitan viabilizar el proceso de Transferencia Gratuita</w:t>
      </w:r>
      <w:r w:rsidR="002F7B41" w:rsidRPr="003A613E">
        <w:rPr>
          <w:rFonts w:ascii="Cambria" w:hAnsi="Cambria" w:cs="Times-Roman"/>
          <w:i/>
          <w:lang w:val="es-ES"/>
        </w:rPr>
        <w:t xml:space="preserve"> (</w:t>
      </w:r>
      <w:r w:rsidRPr="003A613E">
        <w:rPr>
          <w:rFonts w:ascii="Cambria" w:hAnsi="Cambria" w:cs="Times-Roman"/>
          <w:i/>
          <w:lang w:val="es-ES"/>
        </w:rPr>
        <w:t>…</w:t>
      </w:r>
      <w:r w:rsidR="002F7B41" w:rsidRPr="003A613E">
        <w:rPr>
          <w:rFonts w:ascii="Cambria" w:hAnsi="Cambria" w:cs="Times-Roman"/>
          <w:i/>
          <w:lang w:val="es-ES"/>
        </w:rPr>
        <w:t>)</w:t>
      </w:r>
      <w:r w:rsidRPr="003A613E">
        <w:rPr>
          <w:rFonts w:ascii="Cambria" w:hAnsi="Cambria" w:cs="Times-Roman"/>
          <w:i/>
          <w:lang w:val="es-ES"/>
        </w:rPr>
        <w:t xml:space="preserve"> del equipo biométrico: Informe técnico a la Dirección Nacional del Centro de Servicios, en el cual especifique las ventajas y desventajas que tendría al entregar el kit biométrico a las entidades del sector público</w:t>
      </w:r>
      <w:r w:rsidR="002F7B41" w:rsidRPr="003A613E">
        <w:rPr>
          <w:rFonts w:ascii="Cambria" w:hAnsi="Cambria" w:cs="Times-Roman"/>
          <w:i/>
          <w:lang w:val="es-ES"/>
        </w:rPr>
        <w:t xml:space="preserve"> (</w:t>
      </w:r>
      <w:r w:rsidRPr="003A613E">
        <w:rPr>
          <w:rFonts w:ascii="Cambria" w:hAnsi="Cambria" w:cs="Times-Roman"/>
          <w:i/>
          <w:lang w:val="es-ES"/>
        </w:rPr>
        <w:t>…</w:t>
      </w:r>
      <w:r w:rsidR="002F7B41" w:rsidRPr="003A613E">
        <w:rPr>
          <w:rFonts w:ascii="Cambria" w:hAnsi="Cambria" w:cs="Times-Roman"/>
          <w:i/>
          <w:lang w:val="es-ES"/>
        </w:rPr>
        <w:t>)</w:t>
      </w:r>
      <w:r w:rsidRPr="003A613E">
        <w:rPr>
          <w:rFonts w:ascii="Cambria" w:hAnsi="Cambria" w:cs="Times-Roman"/>
          <w:i/>
          <w:lang w:val="es-ES"/>
        </w:rPr>
        <w:t xml:space="preserve"> bajo su responsabilidad. Un Informe de Inspección Previa a la Dirección Financiera para la entrega de los equipos biométricos… Solicitar un instrumento legal a la Coordinación General Jurídica, que permita la entrega del equipo biométrico a las entidades del sector público</w:t>
      </w:r>
      <w:r w:rsidR="002F7B41" w:rsidRPr="003A613E">
        <w:rPr>
          <w:rFonts w:ascii="Cambria" w:hAnsi="Cambria" w:cs="Times-Roman"/>
          <w:i/>
          <w:lang w:val="es-ES"/>
        </w:rPr>
        <w:t xml:space="preserve"> (</w:t>
      </w:r>
      <w:r w:rsidRPr="003A613E">
        <w:rPr>
          <w:rFonts w:ascii="Cambria" w:hAnsi="Cambria" w:cs="Times-Roman"/>
          <w:i/>
          <w:lang w:val="es-ES"/>
        </w:rPr>
        <w:t>…</w:t>
      </w:r>
      <w:r w:rsidR="002F7B41" w:rsidRPr="003A613E">
        <w:rPr>
          <w:rFonts w:ascii="Cambria" w:hAnsi="Cambria" w:cs="Times-Roman"/>
          <w:i/>
          <w:lang w:val="es-ES"/>
        </w:rPr>
        <w:t>)</w:t>
      </w:r>
      <w:r w:rsidRPr="003A613E">
        <w:rPr>
          <w:rFonts w:ascii="Cambria" w:hAnsi="Cambria" w:cs="Times-Roman"/>
          <w:i/>
          <w:lang w:val="es-ES"/>
        </w:rPr>
        <w:t xml:space="preserve">”. </w:t>
      </w:r>
      <w:r w:rsidRPr="003A613E">
        <w:rPr>
          <w:rFonts w:ascii="Cambria" w:hAnsi="Cambria" w:cs="Times-Roman"/>
          <w:lang w:val="es-ES"/>
        </w:rPr>
        <w:t xml:space="preserve">Por lo que concluye: </w:t>
      </w:r>
      <w:r w:rsidRPr="003A613E">
        <w:rPr>
          <w:rFonts w:ascii="Cambria" w:hAnsi="Cambria" w:cs="Times-Roman"/>
          <w:i/>
          <w:lang w:val="es-ES"/>
        </w:rPr>
        <w:t xml:space="preserve">“De lo expuesto anteriormente podemos concluir, que los bienes mencionados aún no han concluido su vida útil, así como también atendiendo al criterio de funcionabilidad y uso debo indicar </w:t>
      </w:r>
      <w:r w:rsidRPr="003A613E">
        <w:rPr>
          <w:rFonts w:ascii="Cambria" w:hAnsi="Cambria" w:cs="Times-Roman"/>
          <w:i/>
          <w:u w:val="single"/>
          <w:lang w:val="es-ES"/>
        </w:rPr>
        <w:t>que estos bienes no están siendo utilizados por esta Cartera de Estado</w:t>
      </w:r>
      <w:r w:rsidRPr="003A613E">
        <w:rPr>
          <w:rFonts w:ascii="Cambria" w:hAnsi="Cambria" w:cs="Times-Roman"/>
          <w:i/>
          <w:lang w:val="es-ES"/>
        </w:rPr>
        <w:t>, además que son bienes que por el momento tienen todavía tiempo de vida útil pero que con los avances en la tecnología estos en pocos años se volverán obsoletos, razón por la cual esta Dirección ve necesario sugerir que el kit biométrico sea entregado en Transferencia Gratuita</w:t>
      </w:r>
      <w:r w:rsidR="002F7B41" w:rsidRPr="003A613E">
        <w:rPr>
          <w:rFonts w:ascii="Cambria" w:hAnsi="Cambria" w:cs="Times-Roman"/>
          <w:i/>
          <w:lang w:val="es-ES"/>
        </w:rPr>
        <w:t xml:space="preserve"> (</w:t>
      </w:r>
      <w:r w:rsidRPr="003A613E">
        <w:rPr>
          <w:rFonts w:ascii="Cambria" w:hAnsi="Cambria" w:cs="Times-Roman"/>
          <w:i/>
          <w:lang w:val="es-ES"/>
        </w:rPr>
        <w:t>…</w:t>
      </w:r>
      <w:r w:rsidR="002F7B41" w:rsidRPr="003A613E">
        <w:rPr>
          <w:rFonts w:ascii="Cambria" w:hAnsi="Cambria" w:cs="Times-Roman"/>
          <w:i/>
          <w:lang w:val="es-ES"/>
        </w:rPr>
        <w:t>)</w:t>
      </w:r>
      <w:r w:rsidRPr="003A613E">
        <w:rPr>
          <w:rFonts w:ascii="Cambria" w:hAnsi="Cambria" w:cs="Times-Roman"/>
          <w:i/>
          <w:lang w:val="es-ES"/>
        </w:rPr>
        <w:t xml:space="preserve"> a las distintas entidades del sector público que hacen uso del kit biométricos (sic) de pagos.”</w:t>
      </w:r>
    </w:p>
    <w:p w:rsidR="00C840CD" w:rsidRPr="003A613E" w:rsidRDefault="00C840CD" w:rsidP="00C840CD">
      <w:pPr>
        <w:pStyle w:val="Prrafodelista"/>
        <w:autoSpaceDE w:val="0"/>
        <w:autoSpaceDN w:val="0"/>
        <w:adjustRightInd w:val="0"/>
        <w:jc w:val="both"/>
        <w:rPr>
          <w:rFonts w:ascii="Cambria" w:hAnsi="Cambria"/>
          <w:sz w:val="20"/>
          <w:szCs w:val="20"/>
        </w:rPr>
      </w:pPr>
    </w:p>
    <w:p w:rsidR="00C840CD" w:rsidRPr="003A613E" w:rsidRDefault="008227F7" w:rsidP="00B4020C">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t>M</w:t>
      </w:r>
      <w:r w:rsidR="00C840CD" w:rsidRPr="003A613E">
        <w:rPr>
          <w:rFonts w:ascii="Cambria" w:hAnsi="Cambria"/>
        </w:rPr>
        <w:t xml:space="preserve">ediante Memorando Nro. MEF-CGAF-2019-0110-M de 19 de marzo de 2019, </w:t>
      </w:r>
      <w:r w:rsidR="00C840CD" w:rsidRPr="003A613E">
        <w:rPr>
          <w:rFonts w:ascii="Cambria" w:hAnsi="Cambria"/>
          <w:bCs/>
          <w:lang w:val="es-419"/>
        </w:rPr>
        <w:t>el</w:t>
      </w:r>
      <w:r w:rsidR="00C840CD" w:rsidRPr="003A613E">
        <w:rPr>
          <w:rFonts w:ascii="Cambria" w:eastAsia="Cambria" w:hAnsi="Cambria" w:cs="Cambria"/>
          <w:lang w:val="es-ES"/>
        </w:rPr>
        <w:t xml:space="preserve"> Coordinador General Administrativo Financiero, solicitó al</w:t>
      </w:r>
      <w:r w:rsidR="00C840CD" w:rsidRPr="003A613E">
        <w:rPr>
          <w:rFonts w:ascii="Cambria" w:hAnsi="Cambria"/>
          <w:bCs/>
          <w:lang w:val="es-419"/>
        </w:rPr>
        <w:t xml:space="preserve"> Subsecretario de Innovación de las Finanzas Públicas, que: </w:t>
      </w:r>
      <w:r w:rsidR="00C840CD" w:rsidRPr="003A613E">
        <w:rPr>
          <w:rFonts w:ascii="Cambria" w:hAnsi="Cambria"/>
          <w:bCs/>
          <w:i/>
          <w:lang w:val="es-419"/>
        </w:rPr>
        <w:t>“</w:t>
      </w:r>
      <w:r w:rsidR="002F7B41" w:rsidRPr="003A613E">
        <w:rPr>
          <w:rFonts w:ascii="Cambria" w:hAnsi="Cambria"/>
          <w:bCs/>
          <w:i/>
          <w:lang w:val="es-419"/>
        </w:rPr>
        <w:t xml:space="preserve">(…) </w:t>
      </w:r>
      <w:r w:rsidR="00C840CD" w:rsidRPr="003A613E">
        <w:rPr>
          <w:rFonts w:ascii="Cambria" w:hAnsi="Cambria"/>
          <w:bCs/>
          <w:i/>
          <w:lang w:val="es-419"/>
        </w:rPr>
        <w:t>acogiendo la solicitud realizada por el Director de Logística Institucional</w:t>
      </w:r>
      <w:r w:rsidR="002F7B41" w:rsidRPr="003A613E">
        <w:rPr>
          <w:rFonts w:ascii="Cambria" w:hAnsi="Cambria"/>
          <w:bCs/>
          <w:i/>
          <w:lang w:val="es-419"/>
        </w:rPr>
        <w:t xml:space="preserve"> (</w:t>
      </w:r>
      <w:r w:rsidR="00C840CD" w:rsidRPr="003A613E">
        <w:rPr>
          <w:rFonts w:ascii="Cambria" w:hAnsi="Cambria"/>
          <w:bCs/>
          <w:i/>
          <w:lang w:val="es-419"/>
        </w:rPr>
        <w:t>…</w:t>
      </w:r>
      <w:r w:rsidR="002F7B41" w:rsidRPr="003A613E">
        <w:rPr>
          <w:rFonts w:ascii="Cambria" w:hAnsi="Cambria"/>
          <w:bCs/>
          <w:i/>
          <w:lang w:val="es-419"/>
        </w:rPr>
        <w:t>)</w:t>
      </w:r>
      <w:r w:rsidR="00C840CD" w:rsidRPr="003A613E">
        <w:rPr>
          <w:rFonts w:ascii="Cambria" w:hAnsi="Cambria"/>
          <w:bCs/>
          <w:i/>
          <w:lang w:val="es-419"/>
        </w:rPr>
        <w:t xml:space="preserve"> me permito solicitar que, en el ámbito de las competencias de la Subsecretaría a su cargo, se remita a esta Coordinación un Informe Técnico en el que se analice el impacto (ventajas y desventajas) que tendría la entrega de los equipos biométricos en Transferencia Gratuita bajo la modalidad de "Donación" por parte de esta Cartera de Estado a las instituciones usuarias.”</w:t>
      </w:r>
    </w:p>
    <w:p w:rsidR="00C840CD" w:rsidRDefault="00C840CD" w:rsidP="00C840CD">
      <w:pPr>
        <w:pStyle w:val="Prrafodelista"/>
        <w:rPr>
          <w:rFonts w:ascii="Cambria" w:hAnsi="Cambria" w:cs="Times-Roman"/>
          <w:i/>
          <w:lang w:val="es-ES"/>
        </w:rPr>
      </w:pPr>
    </w:p>
    <w:p w:rsidR="00D83E1A" w:rsidRDefault="00D83E1A" w:rsidP="00C840CD">
      <w:pPr>
        <w:pStyle w:val="Prrafodelista"/>
        <w:rPr>
          <w:rFonts w:ascii="Cambria" w:hAnsi="Cambria" w:cs="Times-Roman"/>
          <w:i/>
          <w:lang w:val="es-ES"/>
        </w:rPr>
      </w:pPr>
    </w:p>
    <w:p w:rsidR="00D83E1A" w:rsidRDefault="00D83E1A" w:rsidP="00C840CD">
      <w:pPr>
        <w:pStyle w:val="Prrafodelista"/>
        <w:rPr>
          <w:rFonts w:ascii="Cambria" w:hAnsi="Cambria" w:cs="Times-Roman"/>
          <w:i/>
          <w:lang w:val="es-ES"/>
        </w:rPr>
      </w:pPr>
    </w:p>
    <w:p w:rsidR="00D83E1A" w:rsidRDefault="00D83E1A" w:rsidP="00C840CD">
      <w:pPr>
        <w:pStyle w:val="Prrafodelista"/>
        <w:rPr>
          <w:rFonts w:ascii="Cambria" w:hAnsi="Cambria" w:cs="Times-Roman"/>
          <w:i/>
          <w:lang w:val="es-ES"/>
        </w:rPr>
      </w:pPr>
    </w:p>
    <w:p w:rsidR="00D83E1A" w:rsidRPr="003A613E" w:rsidRDefault="00D83E1A" w:rsidP="00C840CD">
      <w:pPr>
        <w:pStyle w:val="Prrafodelista"/>
        <w:rPr>
          <w:rFonts w:ascii="Cambria" w:hAnsi="Cambria" w:cs="Times-Roman"/>
          <w:i/>
          <w:lang w:val="es-ES"/>
        </w:rPr>
      </w:pPr>
    </w:p>
    <w:p w:rsidR="00C840CD" w:rsidRPr="003A613E" w:rsidRDefault="008227F7" w:rsidP="00B4020C">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lastRenderedPageBreak/>
        <w:t>M</w:t>
      </w:r>
      <w:r w:rsidR="00C840CD" w:rsidRPr="003A613E">
        <w:rPr>
          <w:rFonts w:ascii="Cambria" w:hAnsi="Cambria"/>
        </w:rPr>
        <w:t xml:space="preserve">ediante </w:t>
      </w:r>
      <w:r w:rsidR="00C840CD" w:rsidRPr="003A613E">
        <w:rPr>
          <w:rFonts w:ascii="Cambria" w:hAnsi="Cambria"/>
          <w:bCs/>
          <w:lang w:val="es-419"/>
        </w:rPr>
        <w:t>Memorando Nro. MEF-CGAF-2019-0109-M de 19 de marzo de 2019, el</w:t>
      </w:r>
      <w:r w:rsidR="00C840CD" w:rsidRPr="003A613E">
        <w:rPr>
          <w:rFonts w:ascii="Cambria" w:eastAsia="Cambria" w:hAnsi="Cambria" w:cs="Cambria"/>
          <w:lang w:val="es-ES"/>
        </w:rPr>
        <w:t xml:space="preserve"> Coordinador General Administrativo Financiero</w:t>
      </w:r>
      <w:r w:rsidR="00C840CD" w:rsidRPr="003A613E">
        <w:rPr>
          <w:rFonts w:ascii="Cambria" w:hAnsi="Cambria"/>
          <w:bCs/>
          <w:lang w:val="es-419"/>
        </w:rPr>
        <w:t xml:space="preserve">, requirió al Director Financiero, que: </w:t>
      </w:r>
      <w:r w:rsidR="00C840CD" w:rsidRPr="003A613E">
        <w:rPr>
          <w:rFonts w:ascii="Cambria" w:hAnsi="Cambria"/>
          <w:bCs/>
          <w:i/>
          <w:lang w:val="es-419"/>
        </w:rPr>
        <w:t>“</w:t>
      </w:r>
      <w:r w:rsidR="002F7B41" w:rsidRPr="003A613E">
        <w:rPr>
          <w:rFonts w:ascii="Cambria" w:hAnsi="Cambria"/>
          <w:bCs/>
          <w:i/>
          <w:lang w:val="es-419"/>
        </w:rPr>
        <w:t xml:space="preserve"> (</w:t>
      </w:r>
      <w:r w:rsidR="00C840CD" w:rsidRPr="003A613E">
        <w:rPr>
          <w:rFonts w:ascii="Cambria" w:hAnsi="Cambria"/>
          <w:bCs/>
          <w:i/>
          <w:lang w:val="es-419"/>
        </w:rPr>
        <w:t>…</w:t>
      </w:r>
      <w:r w:rsidR="002F7B41" w:rsidRPr="003A613E">
        <w:rPr>
          <w:rFonts w:ascii="Cambria" w:hAnsi="Cambria"/>
          <w:bCs/>
          <w:i/>
          <w:lang w:val="es-419"/>
        </w:rPr>
        <w:t>)</w:t>
      </w:r>
      <w:r w:rsidR="00C840CD" w:rsidRPr="003A613E">
        <w:rPr>
          <w:rFonts w:ascii="Cambria" w:hAnsi="Cambria"/>
          <w:bCs/>
          <w:i/>
          <w:lang w:val="es-419"/>
        </w:rPr>
        <w:t xml:space="preserve"> acogiendo la solicitud realizada por el Director de Logística Institucional</w:t>
      </w:r>
      <w:r w:rsidR="002F7B41" w:rsidRPr="003A613E">
        <w:rPr>
          <w:rFonts w:ascii="Cambria" w:hAnsi="Cambria"/>
          <w:bCs/>
          <w:i/>
          <w:lang w:val="es-419"/>
        </w:rPr>
        <w:t xml:space="preserve"> (</w:t>
      </w:r>
      <w:r w:rsidR="00C840CD" w:rsidRPr="003A613E">
        <w:rPr>
          <w:rFonts w:ascii="Cambria" w:hAnsi="Cambria"/>
          <w:bCs/>
          <w:i/>
          <w:lang w:val="es-419"/>
        </w:rPr>
        <w:t>…</w:t>
      </w:r>
      <w:r w:rsidR="002F7B41" w:rsidRPr="003A613E">
        <w:rPr>
          <w:rFonts w:ascii="Cambria" w:hAnsi="Cambria"/>
          <w:bCs/>
          <w:i/>
          <w:lang w:val="es-419"/>
        </w:rPr>
        <w:t>)</w:t>
      </w:r>
      <w:r w:rsidR="00C840CD" w:rsidRPr="003A613E">
        <w:rPr>
          <w:rFonts w:ascii="Cambria" w:hAnsi="Cambria"/>
          <w:bCs/>
          <w:i/>
          <w:lang w:val="es-419"/>
        </w:rPr>
        <w:t xml:space="preserve"> me permito solicitar que, en el ámbito de su competencia se remita a esta Coordinación un Informe Técnico en el que se analice el impacto fundamentado que tendrían la entrega de los equipos biométricos en Transferencia Gratuita bajo la modalidad de "Donación" por parte de esta Cartera de Estado a las instituciones usuarias”</w:t>
      </w:r>
    </w:p>
    <w:p w:rsidR="00C840CD" w:rsidRPr="003A613E" w:rsidRDefault="00C840CD" w:rsidP="00C840CD">
      <w:pPr>
        <w:pStyle w:val="Prrafodelista"/>
        <w:rPr>
          <w:rFonts w:ascii="Cambria" w:hAnsi="Cambria" w:cs="Times-Roman"/>
          <w:i/>
          <w:lang w:val="es-ES"/>
        </w:rPr>
      </w:pPr>
    </w:p>
    <w:p w:rsidR="00C840CD" w:rsidRPr="003A613E" w:rsidRDefault="008227F7" w:rsidP="00B4020C">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t>M</w:t>
      </w:r>
      <w:r w:rsidR="00C840CD" w:rsidRPr="003A613E">
        <w:rPr>
          <w:rFonts w:ascii="Cambria" w:hAnsi="Cambria"/>
        </w:rPr>
        <w:t xml:space="preserve">ediante </w:t>
      </w:r>
      <w:r w:rsidR="00C840CD" w:rsidRPr="003A613E">
        <w:rPr>
          <w:rFonts w:ascii="Cambria" w:hAnsi="Cambria"/>
          <w:bCs/>
          <w:lang w:val="es-419"/>
        </w:rPr>
        <w:t xml:space="preserve">Memorando Nro. MEF-SIFP-2019-0130-M de 26 de marzo de 2019, el Subsecretario de Innovación de las Finanzas Públicas, emitió su Informe Técnico de favorabilidad al </w:t>
      </w:r>
      <w:r w:rsidR="00C840CD" w:rsidRPr="003A613E">
        <w:rPr>
          <w:rFonts w:ascii="Cambria" w:eastAsia="Cambria" w:hAnsi="Cambria" w:cs="Cambria"/>
          <w:lang w:val="es-ES"/>
        </w:rPr>
        <w:t xml:space="preserve">Coordinador General Administrativo Financiero, manifestando lo siguiente: </w:t>
      </w:r>
      <w:r w:rsidR="00C840CD" w:rsidRPr="003A613E">
        <w:rPr>
          <w:rFonts w:ascii="Cambria" w:hAnsi="Cambria"/>
          <w:bCs/>
          <w:i/>
          <w:lang w:val="es-419"/>
        </w:rPr>
        <w:t>“En respuesta al Memorando No. MEF-CGAF-2019-0110-M, me permito indicar que, mediante Memorando N° MEF-DNCS-2017-0107-M, del 22 de noviembre del 2017, dirigido a la Dirección de Logística Institucional de esta Cartera de Estado, la Dirección Nacional del Centro de Serv</w:t>
      </w:r>
      <w:r w:rsidR="002F7B41" w:rsidRPr="003A613E">
        <w:rPr>
          <w:rFonts w:ascii="Cambria" w:hAnsi="Cambria"/>
          <w:bCs/>
          <w:i/>
          <w:lang w:val="es-419"/>
        </w:rPr>
        <w:t>icios manifestó lo siguiente: “(</w:t>
      </w:r>
      <w:r w:rsidR="00C840CD" w:rsidRPr="003A613E">
        <w:rPr>
          <w:rFonts w:ascii="Cambria" w:hAnsi="Cambria"/>
          <w:bCs/>
          <w:i/>
          <w:lang w:val="es-419"/>
        </w:rPr>
        <w:t>...</w:t>
      </w:r>
      <w:r w:rsidR="002F7B41" w:rsidRPr="003A613E">
        <w:rPr>
          <w:rFonts w:ascii="Cambria" w:hAnsi="Cambria"/>
          <w:bCs/>
          <w:i/>
          <w:lang w:val="es-419"/>
        </w:rPr>
        <w:t>)</w:t>
      </w:r>
      <w:r w:rsidR="00C840CD" w:rsidRPr="003A613E">
        <w:rPr>
          <w:rFonts w:ascii="Cambria" w:hAnsi="Cambria"/>
          <w:bCs/>
          <w:i/>
          <w:lang w:val="es-419"/>
        </w:rPr>
        <w:t xml:space="preserve"> Por lo indicado, en caso de entregar el kit biométrico en transferencia gratuita o donación, el MEF seguiría administrando de manera exclusiva el uso del dispositivo por entidad mediante el control de huellas, dispositivos y equipo que se registran en el sistema </w:t>
      </w:r>
      <w:proofErr w:type="spellStart"/>
      <w:r w:rsidR="00C840CD" w:rsidRPr="003A613E">
        <w:rPr>
          <w:rFonts w:ascii="Cambria" w:hAnsi="Cambria"/>
          <w:bCs/>
          <w:i/>
          <w:lang w:val="es-419"/>
        </w:rPr>
        <w:t>Biometrika</w:t>
      </w:r>
      <w:proofErr w:type="spellEnd"/>
      <w:r w:rsidR="002F7B41" w:rsidRPr="003A613E">
        <w:rPr>
          <w:rFonts w:ascii="Cambria" w:hAnsi="Cambria"/>
          <w:bCs/>
          <w:i/>
          <w:lang w:val="es-419"/>
        </w:rPr>
        <w:t xml:space="preserve"> (</w:t>
      </w:r>
      <w:r w:rsidR="00C840CD" w:rsidRPr="003A613E">
        <w:rPr>
          <w:rFonts w:ascii="Cambria" w:hAnsi="Cambria"/>
          <w:bCs/>
          <w:i/>
          <w:lang w:val="es-419"/>
        </w:rPr>
        <w:t>...</w:t>
      </w:r>
      <w:r w:rsidR="002F7B41" w:rsidRPr="003A613E">
        <w:rPr>
          <w:rFonts w:ascii="Cambria" w:hAnsi="Cambria"/>
          <w:bCs/>
          <w:i/>
          <w:lang w:val="es-419"/>
        </w:rPr>
        <w:t>)</w:t>
      </w:r>
      <w:r w:rsidR="00C840CD" w:rsidRPr="003A613E">
        <w:rPr>
          <w:rFonts w:ascii="Cambria" w:hAnsi="Cambria"/>
          <w:bCs/>
          <w:i/>
          <w:lang w:val="es-419"/>
        </w:rPr>
        <w:t>”. Con este antecedente y conforme lo indicado por la Dirección Nacional del Centro de Servicios, esta Subsecretaría se ratifica en la decisión a adoptarse en caso de aplicarse la transferencia gratuita</w:t>
      </w:r>
      <w:r w:rsidR="002F7B41" w:rsidRPr="003A613E">
        <w:rPr>
          <w:rFonts w:ascii="Cambria" w:hAnsi="Cambria"/>
          <w:bCs/>
          <w:i/>
          <w:lang w:val="es-419"/>
        </w:rPr>
        <w:t xml:space="preserve"> (</w:t>
      </w:r>
      <w:r w:rsidR="00C840CD" w:rsidRPr="003A613E">
        <w:rPr>
          <w:rFonts w:ascii="Cambria" w:hAnsi="Cambria"/>
          <w:bCs/>
          <w:i/>
          <w:lang w:val="es-419"/>
        </w:rPr>
        <w:t>…</w:t>
      </w:r>
      <w:r w:rsidR="002F7B41" w:rsidRPr="003A613E">
        <w:rPr>
          <w:rFonts w:ascii="Cambria" w:hAnsi="Cambria"/>
          <w:bCs/>
          <w:i/>
          <w:lang w:val="es-419"/>
        </w:rPr>
        <w:t>)</w:t>
      </w:r>
      <w:r w:rsidR="00C840CD" w:rsidRPr="003A613E">
        <w:rPr>
          <w:rFonts w:ascii="Cambria" w:hAnsi="Cambria"/>
          <w:bCs/>
          <w:i/>
          <w:lang w:val="es-419"/>
        </w:rPr>
        <w:t xml:space="preserve"> En el marco de lo expuesto, es importante indicar que el impacto técnico no es mayor en el evento de una TRANSFERENCIA GRATUITA BAJO LA MODALIDAD DE “DONACIÓN”.</w:t>
      </w:r>
    </w:p>
    <w:p w:rsidR="00C840CD" w:rsidRPr="003A613E" w:rsidRDefault="00C840CD" w:rsidP="00C840CD">
      <w:pPr>
        <w:pStyle w:val="Prrafodelista"/>
        <w:autoSpaceDE w:val="0"/>
        <w:autoSpaceDN w:val="0"/>
        <w:adjustRightInd w:val="0"/>
        <w:jc w:val="both"/>
        <w:rPr>
          <w:rFonts w:ascii="Cambria" w:hAnsi="Cambria"/>
          <w:sz w:val="20"/>
          <w:szCs w:val="20"/>
        </w:rPr>
      </w:pPr>
    </w:p>
    <w:p w:rsidR="00C840CD" w:rsidRPr="003A613E" w:rsidRDefault="008227F7" w:rsidP="00B4020C">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t>M</w:t>
      </w:r>
      <w:r w:rsidR="00C840CD" w:rsidRPr="003A613E">
        <w:rPr>
          <w:rFonts w:ascii="Cambria" w:hAnsi="Cambria"/>
        </w:rPr>
        <w:t xml:space="preserve">ediante </w:t>
      </w:r>
      <w:r w:rsidR="00C840CD" w:rsidRPr="003A613E">
        <w:rPr>
          <w:rFonts w:ascii="Cambria" w:hAnsi="Cambria"/>
          <w:bCs/>
          <w:lang w:val="es-419"/>
        </w:rPr>
        <w:t xml:space="preserve">Memorando Nro. MEF-DF-2019-0212-M de 02 de mayo de 2019, el Director Financiero, remitió al </w:t>
      </w:r>
      <w:r w:rsidR="00C840CD" w:rsidRPr="003A613E">
        <w:rPr>
          <w:rFonts w:ascii="Cambria" w:eastAsia="Cambria" w:hAnsi="Cambria" w:cs="Cambria"/>
          <w:lang w:val="es-ES"/>
        </w:rPr>
        <w:t>Coordinador General Administrativo Financiero, el Informe Financiero sobre el proyecto para la entrega de equipos biométricos a las entidades del sector público, que en su conclusión y recomendación, señaló:  “</w:t>
      </w:r>
      <w:r w:rsidR="00C840CD" w:rsidRPr="003A613E">
        <w:rPr>
          <w:rFonts w:ascii="Cambria" w:hAnsi="Cambria" w:cs="Times-Roman"/>
          <w:i/>
          <w:lang w:val="es-ES"/>
        </w:rPr>
        <w:t>Por lo expuesto en referencia al análisis mencionado, el costo beneficio de mantener los equipos biométricos como parte de los inventarios de las cuentas contables implica que se incremente la cuenta contable 141.01.04 por bienes que actualmente no están cumpliendo con su razón de ser, tal como lo estipula El Reglamento General Sustitutivo para la Administración, Utilización, Manejo y Control de los Bienes e Inventarios del Sector Público</w:t>
      </w:r>
      <w:r w:rsidR="002F7B41" w:rsidRPr="003A613E">
        <w:rPr>
          <w:rFonts w:ascii="Cambria" w:hAnsi="Cambria" w:cs="Times-Roman"/>
          <w:i/>
          <w:lang w:val="es-ES"/>
        </w:rPr>
        <w:t xml:space="preserve"> (</w:t>
      </w:r>
      <w:r w:rsidR="00C840CD" w:rsidRPr="003A613E">
        <w:rPr>
          <w:rFonts w:ascii="Cambria" w:hAnsi="Cambria" w:cs="Times-Roman"/>
          <w:i/>
          <w:lang w:val="es-ES"/>
        </w:rPr>
        <w:t>…</w:t>
      </w:r>
      <w:r w:rsidR="002F7B41" w:rsidRPr="003A613E">
        <w:rPr>
          <w:rFonts w:ascii="Cambria" w:hAnsi="Cambria" w:cs="Times-Roman"/>
          <w:i/>
          <w:lang w:val="es-ES"/>
        </w:rPr>
        <w:t>)</w:t>
      </w:r>
      <w:r w:rsidR="00C840CD" w:rsidRPr="003A613E">
        <w:rPr>
          <w:rFonts w:ascii="Cambria" w:hAnsi="Cambria" w:cs="Times-Roman"/>
          <w:i/>
          <w:lang w:val="es-ES"/>
        </w:rPr>
        <w:t xml:space="preserve"> por lo expuesto, considerando que estos bienes fueron adquiridos para utilidad de las entidades del sector Público, pues así consta en los antecedentes de la adquisición de los mismos, y que esto genera costos de pólizas de aseguramiento; así como, los costos que implica la renovación de los contratos que fenecieron y su constatación física, esta Dirección considera que es procedente establecer un procedimiento para concretar la entrega de los equipos a las entidades que actualmente lo están utilizando.”</w:t>
      </w:r>
    </w:p>
    <w:p w:rsidR="00C840CD" w:rsidRDefault="00C840CD" w:rsidP="00C840CD">
      <w:pPr>
        <w:pStyle w:val="Prrafodelista"/>
        <w:autoSpaceDE w:val="0"/>
        <w:autoSpaceDN w:val="0"/>
        <w:adjustRightInd w:val="0"/>
        <w:jc w:val="both"/>
        <w:rPr>
          <w:rFonts w:ascii="Cambria" w:hAnsi="Cambria"/>
          <w:sz w:val="20"/>
          <w:szCs w:val="20"/>
        </w:rPr>
      </w:pPr>
    </w:p>
    <w:p w:rsidR="00D83E1A" w:rsidRPr="003A613E" w:rsidRDefault="00D83E1A" w:rsidP="00C840CD">
      <w:pPr>
        <w:pStyle w:val="Prrafodelista"/>
        <w:autoSpaceDE w:val="0"/>
        <w:autoSpaceDN w:val="0"/>
        <w:adjustRightInd w:val="0"/>
        <w:jc w:val="both"/>
        <w:rPr>
          <w:rFonts w:ascii="Cambria" w:hAnsi="Cambria"/>
          <w:sz w:val="20"/>
          <w:szCs w:val="20"/>
        </w:rPr>
      </w:pPr>
    </w:p>
    <w:p w:rsidR="00C840CD" w:rsidRPr="003A613E" w:rsidRDefault="00C840CD" w:rsidP="00C840CD">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lastRenderedPageBreak/>
        <w:t xml:space="preserve">Mediante Memorando Nro. MEF-DL-2020-0646-M de 13 de noviembre de 2020, </w:t>
      </w:r>
      <w:r w:rsidRPr="003A613E">
        <w:rPr>
          <w:rFonts w:ascii="Cambria" w:hAnsi="Cambria" w:cs="Times-Roman"/>
          <w:lang w:val="es-ES"/>
        </w:rPr>
        <w:t xml:space="preserve">el Guardalmacén de Activos Fijos, remitió a </w:t>
      </w:r>
      <w:r w:rsidRPr="003A613E">
        <w:rPr>
          <w:rFonts w:ascii="Cambria" w:hAnsi="Cambria"/>
        </w:rPr>
        <w:t xml:space="preserve">la </w:t>
      </w:r>
      <w:r w:rsidRPr="003A613E">
        <w:rPr>
          <w:rFonts w:ascii="Cambria" w:hAnsi="Cambria" w:cs="Times-Roman"/>
          <w:lang w:val="es-ES"/>
        </w:rPr>
        <w:t xml:space="preserve">Directora de Logística Institucional, Encargada, el informe sobre la Entrega en Transferencia Gratuita de kits biométricos a las entidades del sector público que hacen uso del equipo para pagos, en el cual considera: </w:t>
      </w:r>
      <w:r w:rsidRPr="003A613E">
        <w:rPr>
          <w:rFonts w:ascii="Cambria" w:hAnsi="Cambria" w:cs="Times-Roman"/>
          <w:i/>
          <w:lang w:val="es-ES"/>
        </w:rPr>
        <w:t>“Una vez verificada la necesidad y utilidad que prestan los kits biométricos a esta Cartera de Estado, la Unidad de Bienes sugiere que los equipos biométricos sean entregados en TRANSFERENCIA GRATUITA a las distintas entidades que forman parte del presupuesto general del estado y que hacen uso de este dispositivo de pagos</w:t>
      </w:r>
      <w:r w:rsidR="002F7B41" w:rsidRPr="003A613E">
        <w:rPr>
          <w:rFonts w:ascii="Cambria" w:hAnsi="Cambria" w:cs="Times-Roman"/>
          <w:i/>
          <w:lang w:val="es-ES"/>
        </w:rPr>
        <w:t xml:space="preserve"> (</w:t>
      </w:r>
      <w:r w:rsidRPr="003A613E">
        <w:rPr>
          <w:rFonts w:ascii="Cambria" w:hAnsi="Cambria" w:cs="Times-Roman"/>
          <w:i/>
          <w:lang w:val="es-ES"/>
        </w:rPr>
        <w:t>…</w:t>
      </w:r>
      <w:r w:rsidR="002F7B41" w:rsidRPr="003A613E">
        <w:rPr>
          <w:rFonts w:ascii="Cambria" w:hAnsi="Cambria" w:cs="Times-Roman"/>
          <w:i/>
          <w:lang w:val="es-ES"/>
        </w:rPr>
        <w:t>)</w:t>
      </w:r>
      <w:r w:rsidRPr="003A613E">
        <w:rPr>
          <w:rFonts w:ascii="Cambria" w:hAnsi="Cambria" w:cs="Times-Roman"/>
          <w:i/>
          <w:lang w:val="es-ES"/>
        </w:rPr>
        <w:t xml:space="preserve"> Con lo antes señalado; y luego de contar con los informes de aceptación para la entrega del Kit Biométrico en Transferencia Gratuita por parte de la Subsecretaria de Innovación de las Finanzas Públicas quien se encarga de la administración de manera exclusiva para el uso del dispositivo por entidad mediante el control de huellas, dispositivos y equipo que se registran en el sistema </w:t>
      </w:r>
      <w:proofErr w:type="spellStart"/>
      <w:r w:rsidRPr="003A613E">
        <w:rPr>
          <w:rFonts w:ascii="Cambria" w:hAnsi="Cambria" w:cs="Times-Roman"/>
          <w:i/>
          <w:lang w:val="es-ES"/>
        </w:rPr>
        <w:t>Biometrika</w:t>
      </w:r>
      <w:proofErr w:type="spellEnd"/>
      <w:r w:rsidRPr="003A613E">
        <w:rPr>
          <w:rFonts w:ascii="Cambria" w:hAnsi="Cambria" w:cs="Times-Roman"/>
          <w:i/>
          <w:lang w:val="es-ES"/>
        </w:rPr>
        <w:t xml:space="preserve"> de pagos; la Dirección Financiera del registro, verificación, baja y contabilización de los equipos en el sistema contable y la Unidad de Bienes que se encarga del buen uso, control y cuidado de los bienes e inventarios institucionales (…)”, </w:t>
      </w:r>
      <w:r w:rsidRPr="003A613E">
        <w:rPr>
          <w:rFonts w:ascii="Cambria" w:hAnsi="Cambria" w:cs="Times-Roman"/>
          <w:lang w:val="es-ES"/>
        </w:rPr>
        <w:t xml:space="preserve">sugiere: </w:t>
      </w:r>
      <w:r w:rsidRPr="003A613E">
        <w:rPr>
          <w:rFonts w:ascii="Cambria" w:hAnsi="Cambria" w:cs="Times-Roman"/>
          <w:i/>
          <w:lang w:val="es-ES"/>
        </w:rPr>
        <w:t>“Solicitar la (sic) autorización respectiva al Coordinador General Administrativo Financiero del Ministerio de Economía y Finanzas, para incentivar la “ENTREGA DE EQUIPOS BIOMÉTRICOS EN TRANSFERENCIA GRATUITA” a las distintas entidades del sector público que hacen uso del mismo.”</w:t>
      </w:r>
    </w:p>
    <w:p w:rsidR="00C840CD" w:rsidRPr="003A613E" w:rsidRDefault="00C840CD" w:rsidP="00C840CD">
      <w:pPr>
        <w:pStyle w:val="Prrafodelista"/>
        <w:autoSpaceDE w:val="0"/>
        <w:autoSpaceDN w:val="0"/>
        <w:adjustRightInd w:val="0"/>
        <w:jc w:val="both"/>
        <w:rPr>
          <w:rFonts w:ascii="Cambria" w:hAnsi="Cambria"/>
          <w:sz w:val="20"/>
          <w:szCs w:val="20"/>
        </w:rPr>
      </w:pPr>
    </w:p>
    <w:p w:rsidR="00C840CD" w:rsidRPr="003A613E" w:rsidRDefault="008227F7" w:rsidP="00C840CD">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t>M</w:t>
      </w:r>
      <w:r w:rsidR="00C840CD" w:rsidRPr="003A613E">
        <w:rPr>
          <w:rFonts w:ascii="Cambria" w:hAnsi="Cambria"/>
        </w:rPr>
        <w:t>ediante Memorando Nro. MEF-DL-2020-0648-M de 14 de noviembre de 2020, la</w:t>
      </w:r>
      <w:r w:rsidR="00C840CD" w:rsidRPr="003A613E">
        <w:rPr>
          <w:rFonts w:ascii="Cambria" w:hAnsi="Cambria" w:cs="Times-Roman"/>
          <w:lang w:val="es-ES"/>
        </w:rPr>
        <w:t xml:space="preserve"> Directora de Logística Institucional, Encargada, solicitó al </w:t>
      </w:r>
      <w:r w:rsidR="00C840CD" w:rsidRPr="003A613E">
        <w:rPr>
          <w:rFonts w:ascii="Cambria" w:eastAsia="Cambria" w:hAnsi="Cambria" w:cs="Cambria"/>
          <w:lang w:val="es-ES"/>
        </w:rPr>
        <w:t xml:space="preserve">Coordinador General Administrativo Financiero, que: </w:t>
      </w:r>
      <w:r w:rsidR="00C840CD" w:rsidRPr="003A613E">
        <w:rPr>
          <w:rFonts w:ascii="Cambria" w:eastAsia="Cambria" w:hAnsi="Cambria" w:cs="Cambria"/>
          <w:i/>
          <w:lang w:val="es-ES"/>
        </w:rPr>
        <w:t>“(…) se autorice la actualización y reactivación del proceso de TRANSFERENCIA GRATUITA de kits biométricos de conformidad a las consideraciones planteadas en el Informe adjunto dando cumplimento a lo que establece el Reglamento General Sustitutivo para la Administración, Utilización, Manejo y Control de los Bienes e Inventarios del Sector Publico, Capítulo VI, artículo 130”</w:t>
      </w:r>
      <w:r w:rsidR="00C840CD" w:rsidRPr="003A613E">
        <w:rPr>
          <w:rFonts w:ascii="Cambria" w:hAnsi="Cambria" w:cs="Times-Roman"/>
          <w:i/>
          <w:lang w:val="es-ES"/>
        </w:rPr>
        <w:t xml:space="preserve"> . </w:t>
      </w:r>
      <w:r w:rsidR="00C840CD" w:rsidRPr="003A613E">
        <w:rPr>
          <w:rFonts w:ascii="Cambria" w:hAnsi="Cambria" w:cs="Times-Roman"/>
          <w:lang w:val="es-ES"/>
        </w:rPr>
        <w:t xml:space="preserve">Por lo cual mediante disposición inserta en el Sistema de Gestión Documental QUIPUX, dentro del referido requerimiento con fecha 16 de noviembre de 2020, el </w:t>
      </w:r>
      <w:r w:rsidR="00C840CD" w:rsidRPr="003A613E">
        <w:rPr>
          <w:rFonts w:ascii="Cambria" w:eastAsia="Cambria" w:hAnsi="Cambria" w:cs="Cambria"/>
          <w:lang w:val="es-ES"/>
        </w:rPr>
        <w:t>Coordinador General Administrativo Financiero</w:t>
      </w:r>
      <w:r w:rsidR="00C840CD" w:rsidRPr="003A613E">
        <w:rPr>
          <w:rFonts w:ascii="Cambria" w:hAnsi="Cambria" w:cs="Times-Roman"/>
          <w:lang w:val="es-ES"/>
        </w:rPr>
        <w:t xml:space="preserve"> autorizó seguir con el proceso de transferencia gratuita conforme la normativa pertinente.</w:t>
      </w:r>
    </w:p>
    <w:p w:rsidR="00C840CD" w:rsidRPr="003A613E" w:rsidRDefault="00C840CD" w:rsidP="00C840CD">
      <w:pPr>
        <w:pStyle w:val="Prrafodelista"/>
        <w:rPr>
          <w:rFonts w:ascii="Cambria" w:hAnsi="Cambria"/>
          <w:sz w:val="20"/>
          <w:szCs w:val="20"/>
        </w:rPr>
      </w:pPr>
    </w:p>
    <w:p w:rsidR="00C840CD" w:rsidRPr="003A613E" w:rsidRDefault="00C840CD" w:rsidP="00C840CD">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t xml:space="preserve">Mediante Memorando Nro. MEF-DL-2020-0653-M de 14 de noviembre de 2020, </w:t>
      </w:r>
      <w:r w:rsidRPr="003A613E">
        <w:rPr>
          <w:rFonts w:ascii="Cambria" w:hAnsi="Cambria" w:cs="Times-Roman"/>
          <w:lang w:val="es-ES"/>
        </w:rPr>
        <w:t xml:space="preserve">Directora de Logística Institucional, Encargada, requirió al Coordinador General Jurídico, que: </w:t>
      </w:r>
      <w:r w:rsidRPr="003A613E">
        <w:rPr>
          <w:rFonts w:ascii="Cambria" w:hAnsi="Cambria" w:cs="Times-Roman"/>
          <w:i/>
          <w:lang w:val="es-ES"/>
        </w:rPr>
        <w:t>“Con los antecedentes expuestos y una vez que se cuenta con la autorización pertinente, agradeceré a usted disponer la emisión del informe jurídico y la elaboración del instrumento legal correspondiente para (…) la transferencia de dominio de kits biométricos.”</w:t>
      </w:r>
    </w:p>
    <w:p w:rsidR="002F7B41" w:rsidRDefault="002F7B41" w:rsidP="002F7B41">
      <w:pPr>
        <w:pStyle w:val="Prrafodelista"/>
        <w:rPr>
          <w:rFonts w:ascii="Cambria" w:hAnsi="Cambria"/>
          <w:sz w:val="20"/>
          <w:szCs w:val="20"/>
        </w:rPr>
      </w:pPr>
    </w:p>
    <w:p w:rsidR="00D83E1A" w:rsidRDefault="00D83E1A" w:rsidP="002F7B41">
      <w:pPr>
        <w:pStyle w:val="Prrafodelista"/>
        <w:rPr>
          <w:rFonts w:ascii="Cambria" w:hAnsi="Cambria"/>
          <w:sz w:val="20"/>
          <w:szCs w:val="20"/>
        </w:rPr>
      </w:pPr>
    </w:p>
    <w:p w:rsidR="00D83E1A" w:rsidRDefault="00D83E1A" w:rsidP="002F7B41">
      <w:pPr>
        <w:pStyle w:val="Prrafodelista"/>
        <w:rPr>
          <w:rFonts w:ascii="Cambria" w:hAnsi="Cambria"/>
          <w:sz w:val="20"/>
          <w:szCs w:val="20"/>
        </w:rPr>
      </w:pPr>
    </w:p>
    <w:p w:rsidR="00D83E1A" w:rsidRDefault="00D83E1A" w:rsidP="002F7B41">
      <w:pPr>
        <w:pStyle w:val="Prrafodelista"/>
        <w:rPr>
          <w:rFonts w:ascii="Cambria" w:hAnsi="Cambria"/>
          <w:sz w:val="20"/>
          <w:szCs w:val="20"/>
        </w:rPr>
      </w:pPr>
    </w:p>
    <w:p w:rsidR="00D83E1A" w:rsidRDefault="00D83E1A" w:rsidP="002F7B41">
      <w:pPr>
        <w:pStyle w:val="Prrafodelista"/>
        <w:rPr>
          <w:rFonts w:ascii="Cambria" w:hAnsi="Cambria"/>
          <w:sz w:val="20"/>
          <w:szCs w:val="20"/>
        </w:rPr>
      </w:pPr>
    </w:p>
    <w:p w:rsidR="00D83E1A" w:rsidRPr="003A613E" w:rsidRDefault="00D83E1A" w:rsidP="002F7B41">
      <w:pPr>
        <w:pStyle w:val="Prrafodelista"/>
        <w:rPr>
          <w:rFonts w:ascii="Cambria" w:hAnsi="Cambria"/>
          <w:sz w:val="20"/>
          <w:szCs w:val="20"/>
        </w:rPr>
      </w:pPr>
    </w:p>
    <w:p w:rsidR="002F7B41" w:rsidRPr="003A613E" w:rsidRDefault="002F7B41" w:rsidP="00C840CD">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lastRenderedPageBreak/>
        <w:t xml:space="preserve">Mediante Memorando Nro. MEF-DL-2021-0090-M de 10 de febrero de 2021, </w:t>
      </w:r>
      <w:r w:rsidRPr="003A613E">
        <w:rPr>
          <w:rFonts w:ascii="Cambria" w:hAnsi="Cambria" w:cs="Times-Roman"/>
          <w:lang w:val="es-ES"/>
        </w:rPr>
        <w:t>el Guardalmacén de Activos Fijos, remitió a la Directora de Logística Institucional (E), el Informe de Constatación Física de Bienes correspondiente al ejercicio económico del año 2020 del Ministerio de Economía y Finanzas, el mismo que cuenta con sumilla inserta de la referida Directora</w:t>
      </w:r>
      <w:r w:rsidR="00046707" w:rsidRPr="003A613E">
        <w:rPr>
          <w:rFonts w:ascii="Cambria" w:hAnsi="Cambria" w:cs="Times-Roman"/>
          <w:lang w:val="es-ES"/>
        </w:rPr>
        <w:t xml:space="preserve"> con la</w:t>
      </w:r>
      <w:r w:rsidRPr="003A613E">
        <w:rPr>
          <w:rFonts w:ascii="Cambria" w:hAnsi="Cambria" w:cs="Times-Roman"/>
          <w:lang w:val="es-ES"/>
        </w:rPr>
        <w:t xml:space="preserve"> aprobación del trámite de transferencia gratuita</w:t>
      </w:r>
      <w:r w:rsidR="00046707" w:rsidRPr="003A613E">
        <w:rPr>
          <w:rFonts w:ascii="Cambria" w:hAnsi="Cambria" w:cs="Times-Roman"/>
          <w:lang w:val="es-ES"/>
        </w:rPr>
        <w:t>.</w:t>
      </w:r>
    </w:p>
    <w:p w:rsidR="00046707" w:rsidRPr="003A613E" w:rsidRDefault="00046707" w:rsidP="00046707">
      <w:pPr>
        <w:pStyle w:val="Prrafodelista"/>
        <w:rPr>
          <w:rFonts w:ascii="Cambria" w:hAnsi="Cambria"/>
          <w:sz w:val="20"/>
          <w:szCs w:val="20"/>
        </w:rPr>
      </w:pPr>
    </w:p>
    <w:p w:rsidR="00877C04" w:rsidRPr="003A613E" w:rsidRDefault="00877C04" w:rsidP="00877C04">
      <w:pPr>
        <w:pStyle w:val="Prrafodelista"/>
        <w:numPr>
          <w:ilvl w:val="0"/>
          <w:numId w:val="5"/>
        </w:numPr>
        <w:autoSpaceDE w:val="0"/>
        <w:autoSpaceDN w:val="0"/>
        <w:adjustRightInd w:val="0"/>
        <w:jc w:val="both"/>
        <w:rPr>
          <w:rFonts w:ascii="Cambria" w:hAnsi="Cambria"/>
        </w:rPr>
      </w:pPr>
      <w:r w:rsidRPr="003A613E">
        <w:rPr>
          <w:rFonts w:ascii="Cambria" w:hAnsi="Cambria"/>
        </w:rPr>
        <w:t>Con la finalidad de coordinar el proceso de transferencia gratuita de los Kits Biométricos, se efectuó una reunión de trabajo con fecha 08 de marzo de 2021, entre la Dirección de Logística Institucional y la Dirección Jurídica de Contratación Pública Administrativa y Laboral, en la cual se fijó la hoja de ruta a seguir en cumplimento de las disposiciones legales vigentes.</w:t>
      </w:r>
    </w:p>
    <w:p w:rsidR="00877C04" w:rsidRPr="003A613E" w:rsidRDefault="00877C04" w:rsidP="00877C04">
      <w:pPr>
        <w:pStyle w:val="Prrafodelista"/>
        <w:autoSpaceDE w:val="0"/>
        <w:autoSpaceDN w:val="0"/>
        <w:adjustRightInd w:val="0"/>
        <w:jc w:val="both"/>
        <w:rPr>
          <w:rFonts w:ascii="Cambria" w:hAnsi="Cambria"/>
        </w:rPr>
      </w:pPr>
    </w:p>
    <w:p w:rsidR="00877C04" w:rsidRPr="003A613E" w:rsidRDefault="008227F7" w:rsidP="001A49E0">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t>M</w:t>
      </w:r>
      <w:r w:rsidR="00877C04" w:rsidRPr="003A613E">
        <w:rPr>
          <w:rFonts w:ascii="Cambria" w:hAnsi="Cambria"/>
        </w:rPr>
        <w:t xml:space="preserve">ediante Informe para el Proceso de Transferencia Gratuita de los Kits Biométricos Entregados en Comodato a las Distintas Entidades del Sector Público, de 16 de marzo de 2021, suscrito por el Guardalmacén de Activos Fijos, con sumilla física de aprobación de 09 de marzo de 2021, por parte de la Directora de Logística Institucional, Encargada, concluyó: </w:t>
      </w:r>
      <w:r w:rsidR="00877C04" w:rsidRPr="003A613E">
        <w:rPr>
          <w:rFonts w:ascii="Cambria" w:hAnsi="Cambria"/>
          <w:i/>
        </w:rPr>
        <w:t>“1. Solicitar las (sic) autorización respectiva al Coordinador General Administrativo Financiero del Ministerio de Economía y Finanzas, para incentivar la "ENTREGA DE EQUIPOS BIOMÉTRICOS EN TRANSFERENCIA GRATUITA"… 2. Solicitar la elaboración de un nuevo Informe Técnico, a la Subsecretaria de Innovación de las Finanzas Pública, a través de la Dirección Nacional del Centro de Servicios, en el cual se pueda evidenciar o constatar la operatividad de los bienes objeto de la transferencia gratuita, con la finalidad de cumplir con los requisitos determinados en la normativa. Además, en el nuevo informe técnico, se debe solicitar se incluya el detalle o reportaría de los diferentes biométricos entregados en comodato como constancia del estado de dichos dispositivos lo cual servirá como insumo para justificar el estado de los dispositivos para el proceso correspondiente en cumplimiento del artículo 131 del Reglamento de bienes. 3. Solicitar la elaboración de un instrumento legal jurídico que permita la entrega del kit biométrico de pagos en Transferencia Gratuita en función de lo que establece el Reglamento General Sustitutivo para la Administración, Utilización, Manejo y Control de los Bienes e Inventarios del Sector Público… 4. Solicitar a la Dirección Financiera realice el informe de inspección previa como lo estipula el Reglamento General Sustitutivo para la Administración, Utilización, Manejo y Control de los Bienes e Inventarios del Sector Público para este tipo de procesos, a fin de cumplir con la normativa legal vigente. 5. Se sugiere realizar dos procesos para la transferencia gratuita de los equipos biométricos, considerando las directrices emitidas para dicho proceso por el Órgano Rector de las Finanzas Públicas; así: a) Realizar la entrega del stock que se mantiene en la bodega de la unidad de bienes, a las distintas entidades que hacen uso del equipo biométrico de pago realizando un análisis previo, autorizado y aprobado por la máxima autoridad. b) Realizar el término del contrato de comodato y al mismo tiempo la entrega del equipo biométrico de pago que actualmente se encuentran contrato de comodato a las UDAF y EOD en Transferencia Gratuita.”</w:t>
      </w:r>
    </w:p>
    <w:p w:rsidR="001A49E0" w:rsidRPr="003A613E" w:rsidRDefault="001A49E0" w:rsidP="001A49E0">
      <w:pPr>
        <w:pStyle w:val="Prrafodelista"/>
        <w:autoSpaceDE w:val="0"/>
        <w:autoSpaceDN w:val="0"/>
        <w:adjustRightInd w:val="0"/>
        <w:jc w:val="both"/>
        <w:rPr>
          <w:rFonts w:ascii="Cambria" w:hAnsi="Cambria"/>
          <w:sz w:val="20"/>
          <w:szCs w:val="20"/>
        </w:rPr>
      </w:pPr>
    </w:p>
    <w:p w:rsidR="001A49E0" w:rsidRPr="003A613E" w:rsidRDefault="001A49E0" w:rsidP="001A49E0">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t>Mediante Memorando Nro. MEF-DL-2021-0211-M de 19 de marzo de 2021, el Guardalmacén de Activos Fijos, remitió a la Directora de Logística Institucional, Encargada, el Informe para el Proceso de Transferencia Gratuita de los Kits Biométricos Entregados en Comodato a las Distintas Entidades del Sector Público, de 16 de marzo de 2021, citado con anterioridad para revisión y aprobación; mismo que cuenta con su respectiva aprobación por parte de la Directora de Logística Institucional con fecha 23 de marzo de 2021, conforme Hoja de Ruta del referido trámite constante del Sistema de Gestión Documental.</w:t>
      </w:r>
    </w:p>
    <w:p w:rsidR="001A49E0" w:rsidRPr="003A613E" w:rsidRDefault="001A49E0" w:rsidP="001A49E0">
      <w:pPr>
        <w:pStyle w:val="Prrafodelista"/>
        <w:rPr>
          <w:rFonts w:ascii="Cambria" w:hAnsi="Cambria"/>
          <w:sz w:val="20"/>
          <w:szCs w:val="20"/>
        </w:rPr>
      </w:pPr>
    </w:p>
    <w:p w:rsidR="001A49E0" w:rsidRPr="003A613E" w:rsidRDefault="001A49E0" w:rsidP="001A49E0">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t xml:space="preserve">Mediante Memorando Nro. MEF-CGAF-2021-0165-M de 22 de marzo de 2021, el Coordinador General Administrativo Financiero, Encargado, solicitó al Director Nacional de Centro de Servicios, Encargado, lo siguiente: </w:t>
      </w:r>
      <w:r w:rsidRPr="003A613E">
        <w:rPr>
          <w:rFonts w:ascii="Cambria" w:hAnsi="Cambria"/>
          <w:i/>
        </w:rPr>
        <w:t>“ Ante lo expuesto, y en razón de actualizar la información del proceso de regularización y entrega en Transferencia Gratuita de los equipos biométricos entregados a las instituciones del sector público que lo utilizan en Contrato de Comodato o Préstamo de Uso, que actualmente está llevando esta Cartera de Estado, solicito a usted su ratificación de los informes remitidos a esta Coordinación según memorandos Nro. MEF-DNCS-2017-0107-M, MEF-SIFP-2019-0130-M, de 22 de noviembre de 2017 y 26 de marzo de 2019 respectivamente, en caso de que el uso y seguridad del equipo biométrico no ha cambiado en sus condiciones. Adicionalmente, solicito se remita a esta Coordinación los siguientes reportes: • Un reporte donde se pueda evidenciar o constatar la operatividad de los bienes objeto de la transferencia gratuita, con la finalidad de cumplir con requisitos determinados en la normativa legal vigente. • Un reporte donde se evidencie la utilización y estado (</w:t>
      </w:r>
      <w:proofErr w:type="spellStart"/>
      <w:r w:rsidRPr="003A613E">
        <w:rPr>
          <w:rFonts w:ascii="Cambria" w:hAnsi="Cambria"/>
          <w:i/>
        </w:rPr>
        <w:t>logs</w:t>
      </w:r>
      <w:proofErr w:type="spellEnd"/>
      <w:r w:rsidRPr="003A613E">
        <w:rPr>
          <w:rFonts w:ascii="Cambria" w:hAnsi="Cambria"/>
          <w:i/>
        </w:rPr>
        <w:t xml:space="preserve"> de </w:t>
      </w:r>
      <w:proofErr w:type="spellStart"/>
      <w:r w:rsidRPr="003A613E">
        <w:rPr>
          <w:rFonts w:ascii="Cambria" w:hAnsi="Cambria"/>
          <w:i/>
        </w:rPr>
        <w:t>transaccionabilidad</w:t>
      </w:r>
      <w:proofErr w:type="spellEnd"/>
      <w:r w:rsidRPr="003A613E">
        <w:rPr>
          <w:rFonts w:ascii="Cambria" w:hAnsi="Cambria"/>
          <w:i/>
        </w:rPr>
        <w:t>) de los diferentes biométricos entregados en comodato a las instituciones del sector público como constancia: dicho reporte servirá como insumo para justificar el estado de los dispositivos para el proceso correspondiente en cumplimiento de lo que establece el Reglamento General Sustitutivo para la Administración, Utilización, Manejo y Control de los Bienes y existencias del Sector Público, en su artículo 131.”</w:t>
      </w:r>
    </w:p>
    <w:p w:rsidR="001A49E0" w:rsidRPr="003A613E" w:rsidRDefault="001A49E0" w:rsidP="001A49E0">
      <w:pPr>
        <w:pStyle w:val="Prrafodelista"/>
        <w:autoSpaceDE w:val="0"/>
        <w:autoSpaceDN w:val="0"/>
        <w:adjustRightInd w:val="0"/>
        <w:jc w:val="both"/>
        <w:rPr>
          <w:rFonts w:ascii="Cambria" w:hAnsi="Cambria"/>
          <w:sz w:val="20"/>
          <w:szCs w:val="20"/>
        </w:rPr>
      </w:pPr>
    </w:p>
    <w:p w:rsidR="001A49E0" w:rsidRPr="003A613E" w:rsidRDefault="001A49E0" w:rsidP="0011668F">
      <w:pPr>
        <w:pStyle w:val="Prrafodelista"/>
        <w:numPr>
          <w:ilvl w:val="0"/>
          <w:numId w:val="5"/>
        </w:numPr>
        <w:autoSpaceDE w:val="0"/>
        <w:autoSpaceDN w:val="0"/>
        <w:adjustRightInd w:val="0"/>
        <w:jc w:val="both"/>
        <w:rPr>
          <w:rFonts w:ascii="Cambria" w:hAnsi="Cambria"/>
          <w:sz w:val="20"/>
          <w:szCs w:val="20"/>
        </w:rPr>
      </w:pPr>
      <w:r w:rsidRPr="003A613E">
        <w:rPr>
          <w:rFonts w:ascii="Cambria" w:hAnsi="Cambria"/>
        </w:rPr>
        <w:t xml:space="preserve">Mediante informe para el Proceso de Transferencia Gratuita de los Kits Biométricos Entregados en Comodato a las Distintas Entidades del Sector Público, de 28 de abril de 2021, suscrito por el Guardalmacén de Activos Fijos, manifestó: </w:t>
      </w:r>
      <w:r w:rsidRPr="003A613E">
        <w:rPr>
          <w:rFonts w:ascii="Cambria" w:hAnsi="Cambria"/>
          <w:i/>
        </w:rPr>
        <w:t>“Es importante mencionar que del archivo entregado: "</w:t>
      </w:r>
      <w:proofErr w:type="spellStart"/>
      <w:r w:rsidRPr="003A613E">
        <w:rPr>
          <w:rFonts w:ascii="Cambria" w:hAnsi="Cambria"/>
          <w:i/>
        </w:rPr>
        <w:t>logs</w:t>
      </w:r>
      <w:proofErr w:type="spellEnd"/>
      <w:r w:rsidRPr="003A613E">
        <w:rPr>
          <w:rFonts w:ascii="Cambria" w:hAnsi="Cambria"/>
          <w:i/>
        </w:rPr>
        <w:t xml:space="preserve"> de </w:t>
      </w:r>
      <w:proofErr w:type="spellStart"/>
      <w:r w:rsidRPr="003A613E">
        <w:rPr>
          <w:rFonts w:ascii="Cambria" w:hAnsi="Cambria"/>
          <w:i/>
        </w:rPr>
        <w:t>transaccionabilidad</w:t>
      </w:r>
      <w:proofErr w:type="spellEnd"/>
      <w:r w:rsidRPr="003A613E">
        <w:rPr>
          <w:rFonts w:ascii="Cambria" w:hAnsi="Cambria"/>
          <w:i/>
        </w:rPr>
        <w:t>" (…)  Adicionalmente, de la verificación realizada de los reportes entregados por la empresa BIOMETRICA, se observa que el cruce de la información se la realizó en base a la serie del lector biométrico FP. Del archivo entregado por la empresa BIOMETRIKA S.A. "1KITACTIVO" existe 1161 equipos biométricos de pago (lectores biométricos) reportados como activos (…) De la revisión y cruce realizado con los 2464 equipos biométricos entregados en contrato de comodato (…)</w:t>
      </w:r>
      <w:r w:rsidR="00A92AE5" w:rsidRPr="003A613E">
        <w:rPr>
          <w:rFonts w:ascii="Cambria" w:hAnsi="Cambria"/>
          <w:i/>
        </w:rPr>
        <w:t>.</w:t>
      </w:r>
      <w:r w:rsidRPr="003A613E">
        <w:rPr>
          <w:rFonts w:ascii="Cambria" w:hAnsi="Cambria"/>
          <w:i/>
        </w:rPr>
        <w:t>”</w:t>
      </w:r>
    </w:p>
    <w:p w:rsidR="008227F7" w:rsidRDefault="008227F7" w:rsidP="00AF1BF7">
      <w:pPr>
        <w:pStyle w:val="Prrafodelista"/>
        <w:rPr>
          <w:rFonts w:ascii="Cambria" w:hAnsi="Cambria"/>
          <w:sz w:val="20"/>
          <w:szCs w:val="20"/>
        </w:rPr>
      </w:pPr>
    </w:p>
    <w:p w:rsidR="00D83E1A" w:rsidRDefault="00D83E1A" w:rsidP="00AF1BF7">
      <w:pPr>
        <w:pStyle w:val="Prrafodelista"/>
        <w:rPr>
          <w:rFonts w:ascii="Cambria" w:hAnsi="Cambria"/>
          <w:sz w:val="20"/>
          <w:szCs w:val="20"/>
        </w:rPr>
      </w:pPr>
    </w:p>
    <w:p w:rsidR="00861D03" w:rsidRPr="003A613E" w:rsidRDefault="00861D03" w:rsidP="00AF1BF7">
      <w:pPr>
        <w:pStyle w:val="Prrafodelista"/>
        <w:rPr>
          <w:rFonts w:ascii="Cambria" w:hAnsi="Cambria"/>
          <w:sz w:val="20"/>
          <w:szCs w:val="20"/>
        </w:rPr>
      </w:pPr>
    </w:p>
    <w:p w:rsidR="008227F7" w:rsidRPr="00861D03" w:rsidRDefault="00643CD5" w:rsidP="00861D03">
      <w:pPr>
        <w:pStyle w:val="Prrafodelista"/>
        <w:numPr>
          <w:ilvl w:val="0"/>
          <w:numId w:val="5"/>
        </w:numPr>
        <w:autoSpaceDE w:val="0"/>
        <w:autoSpaceDN w:val="0"/>
        <w:adjustRightInd w:val="0"/>
        <w:jc w:val="both"/>
        <w:rPr>
          <w:rFonts w:ascii="Cambria" w:hAnsi="Cambria"/>
        </w:rPr>
      </w:pPr>
      <w:r>
        <w:rPr>
          <w:rFonts w:ascii="Cambria" w:hAnsi="Cambria"/>
        </w:rPr>
        <w:lastRenderedPageBreak/>
        <w:t xml:space="preserve">Mediante Oficio circular </w:t>
      </w:r>
      <w:r w:rsidRPr="00643CD5">
        <w:rPr>
          <w:rFonts w:ascii="Cambria" w:hAnsi="Cambria"/>
          <w:b/>
        </w:rPr>
        <w:t xml:space="preserve">Nro. </w:t>
      </w:r>
      <w:r w:rsidR="00861D03" w:rsidRPr="00643CD5">
        <w:rPr>
          <w:rFonts w:ascii="Cambria" w:hAnsi="Cambria"/>
          <w:b/>
        </w:rPr>
        <w:t>MEF-CGAF-2021-0004-C</w:t>
      </w:r>
      <w:r w:rsidR="00861D03" w:rsidRPr="00AE132B">
        <w:rPr>
          <w:rFonts w:ascii="Cambria" w:hAnsi="Cambria"/>
        </w:rPr>
        <w:t>, de fecha 31 de agosto de 2021, suscrito por el Ing. Juan Carlos Espinoza Coordinador General Administrativo Financiero del Ministerio de Economía y Finanzas</w:t>
      </w:r>
      <w:r w:rsidR="00861D03" w:rsidRPr="003A613E">
        <w:rPr>
          <w:rFonts w:ascii="Cambria" w:hAnsi="Cambria"/>
        </w:rPr>
        <w:t>, se notificó a las entidades que conforman el Presupuesto General del Estado el inicio del proceso de entrega de los equipos biométricos de pago (dongle y lector biométrico) bajo la modalidad de Transferencia Gratuita y a su vez la terminación de los Contratos de Comodatos vigentes.</w:t>
      </w:r>
    </w:p>
    <w:p w:rsidR="007B2AC7" w:rsidRPr="003A613E" w:rsidRDefault="007B2AC7" w:rsidP="00AF1BF7">
      <w:pPr>
        <w:pStyle w:val="Prrafodelista"/>
        <w:rPr>
          <w:rFonts w:ascii="Cambria" w:hAnsi="Cambria"/>
          <w:sz w:val="20"/>
          <w:szCs w:val="20"/>
        </w:rPr>
      </w:pPr>
    </w:p>
    <w:p w:rsidR="00FE0D66" w:rsidRPr="003A613E" w:rsidRDefault="002C3A07" w:rsidP="00FE0D66">
      <w:pPr>
        <w:pStyle w:val="Prrafodelista"/>
        <w:numPr>
          <w:ilvl w:val="0"/>
          <w:numId w:val="5"/>
        </w:numPr>
        <w:autoSpaceDE w:val="0"/>
        <w:autoSpaceDN w:val="0"/>
        <w:adjustRightInd w:val="0"/>
        <w:jc w:val="both"/>
        <w:rPr>
          <w:rFonts w:ascii="Cambria" w:hAnsi="Cambria"/>
        </w:rPr>
      </w:pPr>
      <w:r w:rsidRPr="003A613E">
        <w:rPr>
          <w:rFonts w:ascii="Cambria" w:hAnsi="Cambria"/>
        </w:rPr>
        <w:t xml:space="preserve">Mediante </w:t>
      </w:r>
      <w:r w:rsidRPr="003A613E">
        <w:rPr>
          <w:rFonts w:ascii="Cambria" w:hAnsi="Cambria"/>
          <w:b/>
        </w:rPr>
        <w:t>Acuerdo Nro.</w:t>
      </w:r>
      <w:r w:rsidR="00780098" w:rsidRPr="003A613E">
        <w:rPr>
          <w:rFonts w:ascii="Cambria" w:hAnsi="Cambria"/>
          <w:b/>
        </w:rPr>
        <w:t xml:space="preserve"> 0064</w:t>
      </w:r>
      <w:r w:rsidRPr="003A613E">
        <w:rPr>
          <w:rFonts w:ascii="Cambria" w:hAnsi="Cambria"/>
        </w:rPr>
        <w:t xml:space="preserve"> de fecha </w:t>
      </w:r>
      <w:r w:rsidR="00780098" w:rsidRPr="003A613E">
        <w:rPr>
          <w:rFonts w:ascii="Cambria" w:hAnsi="Cambria"/>
          <w:b/>
        </w:rPr>
        <w:t>06 de Julio de 2021</w:t>
      </w:r>
      <w:r w:rsidRPr="003A613E">
        <w:rPr>
          <w:rFonts w:ascii="Cambria" w:hAnsi="Cambria"/>
        </w:rPr>
        <w:t xml:space="preserve">  suscrito por el </w:t>
      </w:r>
      <w:r w:rsidR="00724B5D" w:rsidRPr="003A613E">
        <w:rPr>
          <w:rFonts w:ascii="Cambria" w:hAnsi="Cambria"/>
        </w:rPr>
        <w:t>Ing. Juan Carlos Espinoza</w:t>
      </w:r>
      <w:r w:rsidR="00050F05" w:rsidRPr="003A613E">
        <w:rPr>
          <w:rFonts w:ascii="Cambria" w:hAnsi="Cambria"/>
        </w:rPr>
        <w:t>, Coordinador General administrativo Financiero, en su artículo 1 menciona: “</w:t>
      </w:r>
      <w:r w:rsidR="00050F05" w:rsidRPr="003A613E">
        <w:rPr>
          <w:rFonts w:ascii="Cambria" w:hAnsi="Cambria"/>
          <w:i/>
        </w:rPr>
        <w:t xml:space="preserve">Disponer la Transferencia Gratuita de </w:t>
      </w:r>
      <w:r w:rsidR="00050F05" w:rsidRPr="003A613E">
        <w:rPr>
          <w:rFonts w:ascii="Cambria" w:hAnsi="Cambria"/>
          <w:b/>
          <w:i/>
        </w:rPr>
        <w:t>DOS MIL DOSCIENTOS OCHENTA Y OCHO</w:t>
      </w:r>
      <w:r w:rsidR="00050F05" w:rsidRPr="003A613E">
        <w:rPr>
          <w:rFonts w:ascii="Cambria" w:hAnsi="Cambria"/>
          <w:i/>
        </w:rPr>
        <w:t xml:space="preserve"> (2.288) Kits Biométricos de propiedad del Ministerio de Economía y Finanzas que constan en el Informe para el Proceso de Transferencia Gratuita de los Kits Biométricos entregados en Comodato a las Distintas Entidades del Sector Público de 28 de abril de 2021</w:t>
      </w:r>
      <w:r w:rsidR="00050F05" w:rsidRPr="003A613E">
        <w:rPr>
          <w:rFonts w:ascii="Cambria" w:hAnsi="Cambria"/>
        </w:rPr>
        <w:t xml:space="preserve">, </w:t>
      </w:r>
      <w:r w:rsidR="00050F05" w:rsidRPr="003A613E">
        <w:rPr>
          <w:rFonts w:ascii="Cambria" w:hAnsi="Cambria"/>
          <w:i/>
        </w:rPr>
        <w:t>que se encuentra anexo al Memorando Nro. MEF-DL-2021-0338-M de 28 de abril de 2021, suscrito por el Guardalmacén de Activos Fijos del Ministerio de Economía y Finanzas (…)”</w:t>
      </w:r>
      <w:r w:rsidR="00FE0D66" w:rsidRPr="003A613E">
        <w:rPr>
          <w:rFonts w:ascii="Cambria" w:hAnsi="Cambria"/>
          <w:i/>
        </w:rPr>
        <w:t>.</w:t>
      </w:r>
    </w:p>
    <w:p w:rsidR="00050F05" w:rsidRPr="003A613E" w:rsidRDefault="00050F05" w:rsidP="00A92AE5">
      <w:pPr>
        <w:pStyle w:val="Prrafodelista"/>
        <w:rPr>
          <w:rFonts w:ascii="Cambria" w:eastAsia="Times New Roman" w:hAnsi="Cambria"/>
          <w:sz w:val="20"/>
          <w:szCs w:val="20"/>
        </w:rPr>
      </w:pPr>
    </w:p>
    <w:p w:rsidR="00050F05" w:rsidRPr="003A613E" w:rsidRDefault="00050F05" w:rsidP="00050F05">
      <w:pPr>
        <w:spacing w:line="360" w:lineRule="auto"/>
        <w:ind w:right="81"/>
        <w:jc w:val="both"/>
        <w:rPr>
          <w:rFonts w:ascii="Cambria" w:eastAsia="Cambria" w:hAnsi="Cambria" w:cs="Cambria"/>
          <w:b/>
          <w:sz w:val="20"/>
          <w:szCs w:val="20"/>
        </w:rPr>
      </w:pPr>
      <w:r w:rsidRPr="003A613E">
        <w:rPr>
          <w:rFonts w:ascii="Cambria" w:eastAsia="Cambria" w:hAnsi="Cambria" w:cs="Cambria"/>
          <w:b/>
          <w:sz w:val="20"/>
          <w:szCs w:val="20"/>
        </w:rPr>
        <w:t>ENTREGA RECEPCIÓN:</w:t>
      </w:r>
    </w:p>
    <w:p w:rsidR="00050F05" w:rsidRPr="003A613E" w:rsidRDefault="00050F05" w:rsidP="00050F05">
      <w:pPr>
        <w:pStyle w:val="Prrafodelista"/>
        <w:rPr>
          <w:rFonts w:ascii="Cambria" w:hAnsi="Cambria"/>
        </w:rPr>
      </w:pPr>
    </w:p>
    <w:p w:rsidR="00050F05" w:rsidRPr="003A613E" w:rsidRDefault="00107731" w:rsidP="00107731">
      <w:pPr>
        <w:pStyle w:val="Prrafodelista"/>
        <w:ind w:left="0"/>
        <w:jc w:val="both"/>
        <w:rPr>
          <w:rFonts w:ascii="Cambria" w:hAnsi="Cambria"/>
        </w:rPr>
      </w:pPr>
      <w:r>
        <w:rPr>
          <w:rFonts w:ascii="Cambria" w:hAnsi="Cambria" w:cs="Cambria"/>
          <w:color w:val="000000"/>
          <w:lang w:eastAsia="es-EC"/>
        </w:rPr>
        <w:t>En cumplimiento a las disposiciones contenidas en e</w:t>
      </w:r>
      <w:r w:rsidR="00050F05" w:rsidRPr="003A613E">
        <w:rPr>
          <w:rFonts w:ascii="Cambria" w:hAnsi="Cambria"/>
        </w:rPr>
        <w:t xml:space="preserve">l </w:t>
      </w:r>
      <w:r w:rsidR="00780098" w:rsidRPr="003A613E">
        <w:rPr>
          <w:rFonts w:ascii="Cambria" w:hAnsi="Cambria"/>
          <w:b/>
        </w:rPr>
        <w:t>Acuerdo Nro. 0064</w:t>
      </w:r>
      <w:r w:rsidR="00780098" w:rsidRPr="003A613E">
        <w:rPr>
          <w:rFonts w:ascii="Cambria" w:hAnsi="Cambria"/>
        </w:rPr>
        <w:t xml:space="preserve"> de fecha </w:t>
      </w:r>
      <w:r w:rsidR="00780098" w:rsidRPr="003A613E">
        <w:rPr>
          <w:rFonts w:ascii="Cambria" w:hAnsi="Cambria"/>
          <w:b/>
        </w:rPr>
        <w:t>06 de Julio de 2021</w:t>
      </w:r>
      <w:r w:rsidR="00780098" w:rsidRPr="003A613E">
        <w:rPr>
          <w:rFonts w:ascii="Cambria" w:hAnsi="Cambria"/>
        </w:rPr>
        <w:t>,</w:t>
      </w:r>
      <w:r w:rsidR="00050F05" w:rsidRPr="003A613E">
        <w:rPr>
          <w:rFonts w:ascii="Cambria" w:hAnsi="Cambria"/>
        </w:rPr>
        <w:t xml:space="preserve"> se procede con la entrega-recepción del kit biométrico conforme al siguiente detalle:</w:t>
      </w:r>
    </w:p>
    <w:tbl>
      <w:tblPr>
        <w:tblpPr w:leftFromText="141" w:rightFromText="141" w:vertAnchor="text" w:horzAnchor="margin" w:tblpXSpec="center"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730"/>
        <w:gridCol w:w="1114"/>
        <w:gridCol w:w="1114"/>
        <w:gridCol w:w="1731"/>
        <w:gridCol w:w="1677"/>
      </w:tblGrid>
      <w:tr w:rsidR="0041584B" w:rsidRPr="00F709C2" w:rsidTr="00051798">
        <w:tc>
          <w:tcPr>
            <w:tcW w:w="1122" w:type="dxa"/>
            <w:shd w:val="clear" w:color="auto" w:fill="auto"/>
          </w:tcPr>
          <w:p w:rsidR="0041584B" w:rsidRPr="00F709C2" w:rsidRDefault="0041584B" w:rsidP="002A4073">
            <w:pPr>
              <w:spacing w:line="360" w:lineRule="auto"/>
              <w:ind w:right="81"/>
              <w:jc w:val="both"/>
              <w:rPr>
                <w:rFonts w:ascii="Cambria" w:hAnsi="Cambria"/>
                <w:b/>
                <w:sz w:val="20"/>
                <w:szCs w:val="20"/>
              </w:rPr>
            </w:pPr>
            <w:bookmarkStart w:id="0" w:name="_Hlk93939932"/>
            <w:r w:rsidRPr="00F709C2">
              <w:rPr>
                <w:rFonts w:ascii="Cambria" w:hAnsi="Cambria"/>
                <w:b/>
                <w:sz w:val="20"/>
                <w:szCs w:val="20"/>
              </w:rPr>
              <w:t>Cantidad</w:t>
            </w:r>
          </w:p>
        </w:tc>
        <w:tc>
          <w:tcPr>
            <w:tcW w:w="1730" w:type="dxa"/>
            <w:shd w:val="clear" w:color="auto" w:fill="auto"/>
          </w:tcPr>
          <w:p w:rsidR="0041584B" w:rsidRPr="00F709C2" w:rsidRDefault="0041584B" w:rsidP="002A4073">
            <w:pPr>
              <w:spacing w:line="360" w:lineRule="auto"/>
              <w:ind w:right="81"/>
              <w:jc w:val="both"/>
              <w:rPr>
                <w:rFonts w:ascii="Cambria" w:hAnsi="Cambria"/>
                <w:b/>
                <w:sz w:val="20"/>
                <w:szCs w:val="20"/>
              </w:rPr>
            </w:pPr>
            <w:r w:rsidRPr="00F709C2">
              <w:rPr>
                <w:rFonts w:ascii="Cambria" w:hAnsi="Cambria"/>
                <w:b/>
                <w:sz w:val="20"/>
                <w:szCs w:val="20"/>
              </w:rPr>
              <w:t>Equipo Biométrico</w:t>
            </w:r>
          </w:p>
        </w:tc>
        <w:tc>
          <w:tcPr>
            <w:tcW w:w="1114" w:type="dxa"/>
            <w:shd w:val="clear" w:color="auto" w:fill="auto"/>
          </w:tcPr>
          <w:p w:rsidR="0041584B" w:rsidRPr="00F709C2" w:rsidRDefault="0041584B" w:rsidP="002A4073">
            <w:pPr>
              <w:spacing w:line="360" w:lineRule="auto"/>
              <w:ind w:right="81"/>
              <w:jc w:val="both"/>
              <w:rPr>
                <w:rFonts w:ascii="Cambria" w:hAnsi="Cambria"/>
                <w:b/>
                <w:sz w:val="20"/>
                <w:szCs w:val="20"/>
              </w:rPr>
            </w:pPr>
            <w:r w:rsidRPr="00F709C2">
              <w:rPr>
                <w:rFonts w:ascii="Cambria" w:hAnsi="Cambria"/>
                <w:b/>
                <w:sz w:val="20"/>
                <w:szCs w:val="20"/>
              </w:rPr>
              <w:t>Marca</w:t>
            </w:r>
          </w:p>
        </w:tc>
        <w:tc>
          <w:tcPr>
            <w:tcW w:w="1114" w:type="dxa"/>
            <w:shd w:val="clear" w:color="auto" w:fill="auto"/>
          </w:tcPr>
          <w:p w:rsidR="0041584B" w:rsidRPr="00F709C2" w:rsidRDefault="0041584B" w:rsidP="002A4073">
            <w:pPr>
              <w:spacing w:line="360" w:lineRule="auto"/>
              <w:ind w:right="81"/>
              <w:jc w:val="both"/>
              <w:rPr>
                <w:rFonts w:ascii="Cambria" w:hAnsi="Cambria"/>
                <w:b/>
                <w:sz w:val="20"/>
                <w:szCs w:val="20"/>
              </w:rPr>
            </w:pPr>
            <w:r w:rsidRPr="00F709C2">
              <w:rPr>
                <w:rFonts w:ascii="Cambria" w:hAnsi="Cambria"/>
                <w:b/>
                <w:sz w:val="20"/>
                <w:szCs w:val="20"/>
              </w:rPr>
              <w:t>Modelo</w:t>
            </w:r>
          </w:p>
        </w:tc>
        <w:tc>
          <w:tcPr>
            <w:tcW w:w="1731" w:type="dxa"/>
            <w:shd w:val="clear" w:color="auto" w:fill="auto"/>
          </w:tcPr>
          <w:p w:rsidR="0041584B" w:rsidRPr="00F709C2" w:rsidRDefault="0041584B" w:rsidP="002A4073">
            <w:pPr>
              <w:spacing w:line="360" w:lineRule="auto"/>
              <w:ind w:right="81"/>
              <w:jc w:val="both"/>
              <w:rPr>
                <w:rFonts w:ascii="Cambria" w:hAnsi="Cambria"/>
                <w:b/>
                <w:sz w:val="20"/>
                <w:szCs w:val="20"/>
              </w:rPr>
            </w:pPr>
            <w:r w:rsidRPr="00F709C2">
              <w:rPr>
                <w:rFonts w:ascii="Cambria" w:hAnsi="Cambria"/>
                <w:b/>
                <w:sz w:val="20"/>
                <w:szCs w:val="20"/>
              </w:rPr>
              <w:t xml:space="preserve">Nro. de Inventario y Serie del equipo </w:t>
            </w:r>
          </w:p>
        </w:tc>
        <w:tc>
          <w:tcPr>
            <w:tcW w:w="1677" w:type="dxa"/>
            <w:shd w:val="clear" w:color="auto" w:fill="auto"/>
          </w:tcPr>
          <w:p w:rsidR="0041584B" w:rsidRPr="00F709C2" w:rsidRDefault="0041584B" w:rsidP="002A4073">
            <w:pPr>
              <w:spacing w:line="360" w:lineRule="auto"/>
              <w:ind w:right="81"/>
              <w:jc w:val="both"/>
              <w:rPr>
                <w:rFonts w:ascii="Cambria" w:hAnsi="Cambria"/>
                <w:b/>
                <w:sz w:val="20"/>
                <w:szCs w:val="20"/>
              </w:rPr>
            </w:pPr>
            <w:r w:rsidRPr="00F709C2">
              <w:rPr>
                <w:rFonts w:ascii="Cambria" w:hAnsi="Cambria"/>
                <w:b/>
                <w:sz w:val="20"/>
                <w:szCs w:val="20"/>
              </w:rPr>
              <w:t>Valor Contable</w:t>
            </w:r>
          </w:p>
        </w:tc>
      </w:tr>
      <w:tr w:rsidR="0041584B" w:rsidRPr="00F709C2" w:rsidTr="00051798">
        <w:tc>
          <w:tcPr>
            <w:tcW w:w="1122" w:type="dxa"/>
            <w:shd w:val="clear" w:color="auto" w:fill="auto"/>
          </w:tcPr>
          <w:p w:rsidR="0041584B" w:rsidRPr="00F709C2" w:rsidRDefault="0041584B" w:rsidP="002A4073">
            <w:pPr>
              <w:spacing w:line="360" w:lineRule="auto"/>
              <w:ind w:right="81"/>
              <w:jc w:val="both"/>
              <w:rPr>
                <w:rFonts w:ascii="Cambria" w:hAnsi="Cambria"/>
                <w:sz w:val="20"/>
                <w:szCs w:val="20"/>
              </w:rPr>
            </w:pPr>
          </w:p>
          <w:p w:rsidR="0041584B" w:rsidRPr="00F709C2" w:rsidRDefault="0041584B" w:rsidP="002A4073">
            <w:pPr>
              <w:spacing w:line="360" w:lineRule="auto"/>
              <w:ind w:right="81"/>
              <w:jc w:val="both"/>
              <w:rPr>
                <w:rFonts w:ascii="Cambria" w:hAnsi="Cambria"/>
                <w:sz w:val="20"/>
                <w:szCs w:val="20"/>
              </w:rPr>
            </w:pPr>
          </w:p>
          <w:p w:rsidR="0041584B" w:rsidRPr="00F709C2" w:rsidRDefault="0041584B" w:rsidP="002A4073">
            <w:pPr>
              <w:spacing w:line="360" w:lineRule="auto"/>
              <w:ind w:right="81"/>
              <w:jc w:val="both"/>
              <w:rPr>
                <w:rFonts w:ascii="Cambria" w:hAnsi="Cambria"/>
                <w:sz w:val="20"/>
                <w:szCs w:val="20"/>
              </w:rPr>
            </w:pPr>
            <w:r w:rsidRPr="00F709C2">
              <w:rPr>
                <w:rFonts w:ascii="Cambria" w:hAnsi="Cambria"/>
                <w:sz w:val="20"/>
                <w:szCs w:val="20"/>
              </w:rPr>
              <w:t>1</w:t>
            </w:r>
          </w:p>
          <w:p w:rsidR="0041584B" w:rsidRPr="00F709C2" w:rsidRDefault="0041584B" w:rsidP="002A4073">
            <w:pPr>
              <w:spacing w:line="360" w:lineRule="auto"/>
              <w:ind w:right="81"/>
              <w:jc w:val="both"/>
              <w:rPr>
                <w:rFonts w:ascii="Cambria" w:hAnsi="Cambria"/>
                <w:sz w:val="20"/>
                <w:szCs w:val="20"/>
              </w:rPr>
            </w:pPr>
          </w:p>
        </w:tc>
        <w:tc>
          <w:tcPr>
            <w:tcW w:w="1730" w:type="dxa"/>
            <w:shd w:val="clear" w:color="auto" w:fill="auto"/>
          </w:tcPr>
          <w:p w:rsidR="0041584B" w:rsidRPr="00F709C2" w:rsidRDefault="0041584B" w:rsidP="002A4073">
            <w:pPr>
              <w:spacing w:line="360" w:lineRule="auto"/>
              <w:ind w:right="81"/>
              <w:jc w:val="both"/>
              <w:rPr>
                <w:rFonts w:ascii="Cambria" w:hAnsi="Cambria"/>
                <w:sz w:val="20"/>
                <w:szCs w:val="20"/>
              </w:rPr>
            </w:pPr>
          </w:p>
          <w:p w:rsidR="0041584B" w:rsidRPr="00F709C2" w:rsidRDefault="0041584B" w:rsidP="002A4073">
            <w:pPr>
              <w:spacing w:line="360" w:lineRule="auto"/>
              <w:ind w:right="81"/>
              <w:jc w:val="both"/>
              <w:rPr>
                <w:rFonts w:ascii="Cambria" w:hAnsi="Cambria"/>
                <w:sz w:val="20"/>
                <w:szCs w:val="20"/>
              </w:rPr>
            </w:pPr>
          </w:p>
          <w:p w:rsidR="0041584B" w:rsidRPr="00F709C2" w:rsidRDefault="0041584B" w:rsidP="002A4073">
            <w:pPr>
              <w:spacing w:line="360" w:lineRule="auto"/>
              <w:ind w:right="81"/>
              <w:jc w:val="both"/>
              <w:rPr>
                <w:rFonts w:ascii="Cambria" w:hAnsi="Cambria"/>
                <w:sz w:val="20"/>
                <w:szCs w:val="20"/>
              </w:rPr>
            </w:pPr>
            <w:r w:rsidRPr="00F709C2">
              <w:rPr>
                <w:rFonts w:ascii="Cambria" w:hAnsi="Cambria"/>
                <w:sz w:val="20"/>
                <w:szCs w:val="20"/>
              </w:rPr>
              <w:t>Dongle</w:t>
            </w:r>
          </w:p>
        </w:tc>
        <w:tc>
          <w:tcPr>
            <w:tcW w:w="1114" w:type="dxa"/>
            <w:shd w:val="clear" w:color="auto" w:fill="auto"/>
          </w:tcPr>
          <w:p w:rsidR="0041584B" w:rsidRPr="00F709C2" w:rsidRDefault="0041584B" w:rsidP="002A4073">
            <w:pPr>
              <w:spacing w:line="360" w:lineRule="auto"/>
              <w:ind w:right="81"/>
              <w:jc w:val="both"/>
              <w:rPr>
                <w:rFonts w:ascii="Cambria" w:hAnsi="Cambria"/>
                <w:sz w:val="20"/>
                <w:szCs w:val="20"/>
              </w:rPr>
            </w:pPr>
          </w:p>
          <w:p w:rsidR="0041584B" w:rsidRPr="00F709C2" w:rsidRDefault="0041584B" w:rsidP="002A4073">
            <w:pPr>
              <w:spacing w:line="360" w:lineRule="auto"/>
              <w:ind w:right="81"/>
              <w:jc w:val="both"/>
              <w:rPr>
                <w:rFonts w:ascii="Cambria" w:hAnsi="Cambria"/>
                <w:sz w:val="20"/>
                <w:szCs w:val="20"/>
              </w:rPr>
            </w:pPr>
          </w:p>
          <w:p w:rsidR="0041584B" w:rsidRPr="00F709C2" w:rsidRDefault="0041584B" w:rsidP="002A4073">
            <w:pPr>
              <w:spacing w:line="360" w:lineRule="auto"/>
              <w:ind w:right="81"/>
              <w:jc w:val="both"/>
              <w:rPr>
                <w:rFonts w:ascii="Cambria" w:hAnsi="Cambria"/>
                <w:sz w:val="20"/>
                <w:szCs w:val="20"/>
              </w:rPr>
            </w:pPr>
            <w:r w:rsidRPr="00F709C2">
              <w:rPr>
                <w:rFonts w:ascii="Cambria" w:hAnsi="Cambria"/>
                <w:sz w:val="20"/>
                <w:szCs w:val="20"/>
              </w:rPr>
              <w:t>Genérico</w:t>
            </w:r>
          </w:p>
        </w:tc>
        <w:tc>
          <w:tcPr>
            <w:tcW w:w="1114" w:type="dxa"/>
            <w:shd w:val="clear" w:color="auto" w:fill="auto"/>
          </w:tcPr>
          <w:p w:rsidR="0041584B" w:rsidRPr="00F709C2" w:rsidRDefault="0041584B" w:rsidP="002A4073">
            <w:pPr>
              <w:spacing w:line="360" w:lineRule="auto"/>
              <w:ind w:right="81"/>
              <w:jc w:val="both"/>
              <w:rPr>
                <w:rFonts w:ascii="Cambria" w:hAnsi="Cambria"/>
                <w:sz w:val="20"/>
                <w:szCs w:val="20"/>
              </w:rPr>
            </w:pPr>
          </w:p>
          <w:p w:rsidR="0041584B" w:rsidRPr="00F709C2" w:rsidRDefault="0041584B" w:rsidP="002A4073">
            <w:pPr>
              <w:spacing w:line="360" w:lineRule="auto"/>
              <w:ind w:right="81"/>
              <w:jc w:val="both"/>
              <w:rPr>
                <w:rFonts w:ascii="Cambria" w:hAnsi="Cambria"/>
                <w:sz w:val="20"/>
                <w:szCs w:val="20"/>
              </w:rPr>
            </w:pPr>
          </w:p>
          <w:p w:rsidR="0041584B" w:rsidRPr="00F709C2" w:rsidRDefault="0041584B" w:rsidP="002A4073">
            <w:pPr>
              <w:spacing w:line="360" w:lineRule="auto"/>
              <w:ind w:right="81"/>
              <w:jc w:val="both"/>
              <w:rPr>
                <w:rFonts w:ascii="Cambria" w:hAnsi="Cambria"/>
                <w:sz w:val="20"/>
                <w:szCs w:val="20"/>
              </w:rPr>
            </w:pPr>
            <w:r w:rsidRPr="00F709C2">
              <w:rPr>
                <w:rFonts w:ascii="Cambria" w:hAnsi="Cambria"/>
                <w:sz w:val="20"/>
                <w:szCs w:val="20"/>
              </w:rPr>
              <w:t>Genérico</w:t>
            </w:r>
          </w:p>
        </w:tc>
        <w:tc>
          <w:tcPr>
            <w:tcW w:w="1731" w:type="dxa"/>
            <w:shd w:val="clear" w:color="auto" w:fill="auto"/>
          </w:tcPr>
          <w:p w:rsidR="00051798" w:rsidRPr="008E25CF" w:rsidRDefault="00051798" w:rsidP="00051798">
            <w:pPr>
              <w:rPr>
                <w:rFonts w:ascii="Cambria" w:hAnsi="Cambria"/>
                <w:sz w:val="22"/>
                <w:szCs w:val="22"/>
              </w:rPr>
            </w:pPr>
            <w:r w:rsidRPr="008E25CF">
              <w:rPr>
                <w:rFonts w:ascii="Cambria" w:hAnsi="Cambria"/>
                <w:sz w:val="22"/>
                <w:szCs w:val="22"/>
              </w:rPr>
              <w:t>LD- (</w:t>
            </w:r>
            <w:r w:rsidRPr="008E25CF">
              <w:rPr>
                <w:rFonts w:ascii="Cambria" w:hAnsi="Cambria"/>
                <w:b/>
                <w:sz w:val="22"/>
                <w:szCs w:val="22"/>
                <w:u w:val="single"/>
              </w:rPr>
              <w:t>colocar el código del equipo</w:t>
            </w:r>
            <w:r w:rsidRPr="008E25CF">
              <w:rPr>
                <w:rFonts w:ascii="Cambria" w:hAnsi="Cambria"/>
                <w:sz w:val="22"/>
                <w:szCs w:val="22"/>
              </w:rPr>
              <w:t>)</w:t>
            </w:r>
          </w:p>
          <w:p w:rsidR="00051798" w:rsidRPr="008E25CF" w:rsidRDefault="00051798" w:rsidP="00051798">
            <w:pPr>
              <w:rPr>
                <w:rFonts w:ascii="Cambria" w:hAnsi="Cambria"/>
                <w:sz w:val="22"/>
                <w:szCs w:val="22"/>
              </w:rPr>
            </w:pPr>
            <w:r w:rsidRPr="008E25CF">
              <w:rPr>
                <w:rFonts w:ascii="Cambria" w:hAnsi="Cambria"/>
                <w:sz w:val="22"/>
                <w:szCs w:val="22"/>
              </w:rPr>
              <w:t>AF- (</w:t>
            </w:r>
            <w:r w:rsidRPr="008E25CF">
              <w:rPr>
                <w:rFonts w:ascii="Cambria" w:hAnsi="Cambria"/>
                <w:b/>
                <w:sz w:val="22"/>
                <w:szCs w:val="22"/>
                <w:u w:val="single"/>
              </w:rPr>
              <w:t>colocar el código del equipo</w:t>
            </w:r>
            <w:r w:rsidRPr="008E25CF">
              <w:rPr>
                <w:rFonts w:ascii="Cambria" w:hAnsi="Cambria"/>
                <w:sz w:val="22"/>
                <w:szCs w:val="22"/>
              </w:rPr>
              <w:t>)</w:t>
            </w:r>
          </w:p>
          <w:p w:rsidR="0041584B" w:rsidRPr="00CD4BFD" w:rsidRDefault="00051798" w:rsidP="00051798">
            <w:pPr>
              <w:rPr>
                <w:rFonts w:ascii="Cambria" w:hAnsi="Cambria"/>
                <w:b/>
                <w:sz w:val="20"/>
                <w:szCs w:val="20"/>
              </w:rPr>
            </w:pPr>
            <w:r w:rsidRPr="008E25CF">
              <w:rPr>
                <w:rFonts w:ascii="Cambria" w:hAnsi="Cambria"/>
                <w:sz w:val="22"/>
                <w:szCs w:val="22"/>
              </w:rPr>
              <w:t>SERIE: (</w:t>
            </w:r>
            <w:r w:rsidRPr="008E25CF">
              <w:rPr>
                <w:rFonts w:ascii="Cambria" w:hAnsi="Cambria"/>
                <w:b/>
                <w:sz w:val="22"/>
                <w:szCs w:val="22"/>
                <w:u w:val="single"/>
              </w:rPr>
              <w:t>colocar la serie adjunto archivo de series y códigos de los equipos</w:t>
            </w:r>
            <w:r w:rsidRPr="008E25CF">
              <w:rPr>
                <w:rFonts w:ascii="Cambria" w:hAnsi="Cambria"/>
                <w:sz w:val="22"/>
                <w:szCs w:val="22"/>
              </w:rPr>
              <w:t>)</w:t>
            </w:r>
          </w:p>
        </w:tc>
        <w:tc>
          <w:tcPr>
            <w:tcW w:w="1677" w:type="dxa"/>
            <w:shd w:val="clear" w:color="auto" w:fill="auto"/>
          </w:tcPr>
          <w:p w:rsidR="0041584B" w:rsidRPr="00F709C2" w:rsidRDefault="0041584B" w:rsidP="002A4073">
            <w:pPr>
              <w:spacing w:line="360" w:lineRule="auto"/>
              <w:ind w:right="81"/>
              <w:jc w:val="right"/>
              <w:rPr>
                <w:rFonts w:ascii="Cambria" w:hAnsi="Cambria"/>
                <w:sz w:val="20"/>
                <w:szCs w:val="20"/>
              </w:rPr>
            </w:pPr>
          </w:p>
          <w:p w:rsidR="0041584B" w:rsidRPr="00F709C2" w:rsidRDefault="0041584B" w:rsidP="002A4073">
            <w:pPr>
              <w:spacing w:line="360" w:lineRule="auto"/>
              <w:ind w:right="81"/>
              <w:jc w:val="right"/>
              <w:rPr>
                <w:rFonts w:ascii="Cambria" w:hAnsi="Cambria"/>
                <w:sz w:val="20"/>
                <w:szCs w:val="20"/>
              </w:rPr>
            </w:pPr>
            <w:r>
              <w:rPr>
                <w:rFonts w:ascii="Cambria" w:hAnsi="Cambria"/>
                <w:sz w:val="20"/>
                <w:szCs w:val="20"/>
              </w:rPr>
              <w:t>$ 102,00</w:t>
            </w:r>
          </w:p>
        </w:tc>
      </w:tr>
      <w:tr w:rsidR="00051798" w:rsidRPr="00F709C2" w:rsidTr="00051798">
        <w:tc>
          <w:tcPr>
            <w:tcW w:w="1122" w:type="dxa"/>
            <w:shd w:val="clear" w:color="auto" w:fill="auto"/>
          </w:tcPr>
          <w:p w:rsidR="00051798" w:rsidRPr="00F709C2" w:rsidRDefault="00051798" w:rsidP="00051798">
            <w:pPr>
              <w:spacing w:line="360" w:lineRule="auto"/>
              <w:ind w:right="81"/>
              <w:jc w:val="both"/>
              <w:rPr>
                <w:rFonts w:ascii="Cambria" w:hAnsi="Cambria"/>
                <w:sz w:val="20"/>
                <w:szCs w:val="20"/>
              </w:rPr>
            </w:pPr>
          </w:p>
          <w:p w:rsidR="00051798" w:rsidRPr="00F709C2" w:rsidRDefault="00051798" w:rsidP="00051798">
            <w:pPr>
              <w:spacing w:line="360" w:lineRule="auto"/>
              <w:ind w:right="81"/>
              <w:jc w:val="both"/>
              <w:rPr>
                <w:rFonts w:ascii="Cambria" w:hAnsi="Cambria"/>
                <w:sz w:val="20"/>
                <w:szCs w:val="20"/>
              </w:rPr>
            </w:pPr>
            <w:r w:rsidRPr="00F709C2">
              <w:rPr>
                <w:rFonts w:ascii="Cambria" w:hAnsi="Cambria"/>
                <w:sz w:val="20"/>
                <w:szCs w:val="20"/>
              </w:rPr>
              <w:t>1</w:t>
            </w:r>
          </w:p>
          <w:p w:rsidR="00051798" w:rsidRPr="00F709C2" w:rsidRDefault="00051798" w:rsidP="00051798">
            <w:pPr>
              <w:spacing w:line="360" w:lineRule="auto"/>
              <w:ind w:right="81"/>
              <w:jc w:val="both"/>
              <w:rPr>
                <w:rFonts w:ascii="Cambria" w:hAnsi="Cambria"/>
                <w:sz w:val="20"/>
                <w:szCs w:val="20"/>
              </w:rPr>
            </w:pPr>
          </w:p>
        </w:tc>
        <w:tc>
          <w:tcPr>
            <w:tcW w:w="1730" w:type="dxa"/>
            <w:shd w:val="clear" w:color="auto" w:fill="auto"/>
          </w:tcPr>
          <w:p w:rsidR="00051798" w:rsidRPr="00F709C2" w:rsidRDefault="00051798" w:rsidP="00051798">
            <w:pPr>
              <w:spacing w:line="360" w:lineRule="auto"/>
              <w:ind w:right="81"/>
              <w:jc w:val="both"/>
              <w:rPr>
                <w:rFonts w:ascii="Cambria" w:hAnsi="Cambria"/>
                <w:sz w:val="20"/>
                <w:szCs w:val="20"/>
              </w:rPr>
            </w:pPr>
          </w:p>
          <w:p w:rsidR="00051798" w:rsidRPr="00F709C2" w:rsidRDefault="00051798" w:rsidP="00051798">
            <w:pPr>
              <w:spacing w:line="360" w:lineRule="auto"/>
              <w:ind w:right="81"/>
              <w:jc w:val="both"/>
              <w:rPr>
                <w:rFonts w:ascii="Cambria" w:hAnsi="Cambria"/>
                <w:sz w:val="20"/>
                <w:szCs w:val="20"/>
              </w:rPr>
            </w:pPr>
            <w:r w:rsidRPr="00F709C2">
              <w:rPr>
                <w:rFonts w:ascii="Cambria" w:hAnsi="Cambria"/>
                <w:sz w:val="20"/>
                <w:szCs w:val="20"/>
              </w:rPr>
              <w:lastRenderedPageBreak/>
              <w:t>Lector Biométrico</w:t>
            </w:r>
          </w:p>
        </w:tc>
        <w:tc>
          <w:tcPr>
            <w:tcW w:w="1114" w:type="dxa"/>
            <w:shd w:val="clear" w:color="auto" w:fill="auto"/>
          </w:tcPr>
          <w:p w:rsidR="00051798" w:rsidRPr="00F709C2" w:rsidRDefault="00051798" w:rsidP="00051798">
            <w:pPr>
              <w:spacing w:line="360" w:lineRule="auto"/>
              <w:ind w:right="81"/>
              <w:jc w:val="both"/>
              <w:rPr>
                <w:rFonts w:ascii="Cambria" w:hAnsi="Cambria"/>
                <w:sz w:val="20"/>
                <w:szCs w:val="20"/>
              </w:rPr>
            </w:pPr>
          </w:p>
          <w:p w:rsidR="00051798" w:rsidRPr="00F709C2" w:rsidRDefault="00051798" w:rsidP="00051798">
            <w:pPr>
              <w:spacing w:line="360" w:lineRule="auto"/>
              <w:ind w:right="81"/>
              <w:jc w:val="both"/>
              <w:rPr>
                <w:rFonts w:ascii="Cambria" w:hAnsi="Cambria"/>
                <w:sz w:val="20"/>
                <w:szCs w:val="20"/>
              </w:rPr>
            </w:pPr>
            <w:r w:rsidRPr="00F709C2">
              <w:rPr>
                <w:rFonts w:ascii="Cambria" w:hAnsi="Cambria"/>
                <w:sz w:val="20"/>
                <w:szCs w:val="20"/>
              </w:rPr>
              <w:t>Genérico</w:t>
            </w:r>
          </w:p>
        </w:tc>
        <w:tc>
          <w:tcPr>
            <w:tcW w:w="1114" w:type="dxa"/>
            <w:shd w:val="clear" w:color="auto" w:fill="auto"/>
          </w:tcPr>
          <w:p w:rsidR="00051798" w:rsidRPr="00F709C2" w:rsidRDefault="00051798" w:rsidP="00051798">
            <w:pPr>
              <w:spacing w:line="360" w:lineRule="auto"/>
              <w:ind w:right="81"/>
              <w:jc w:val="both"/>
              <w:rPr>
                <w:rFonts w:ascii="Cambria" w:hAnsi="Cambria"/>
                <w:sz w:val="20"/>
                <w:szCs w:val="20"/>
              </w:rPr>
            </w:pPr>
          </w:p>
          <w:p w:rsidR="00051798" w:rsidRPr="00F709C2" w:rsidRDefault="00051798" w:rsidP="00051798">
            <w:pPr>
              <w:spacing w:line="360" w:lineRule="auto"/>
              <w:ind w:right="81"/>
              <w:jc w:val="both"/>
              <w:rPr>
                <w:rFonts w:ascii="Cambria" w:hAnsi="Cambria"/>
                <w:sz w:val="20"/>
                <w:szCs w:val="20"/>
              </w:rPr>
            </w:pPr>
            <w:r w:rsidRPr="00F709C2">
              <w:rPr>
                <w:rFonts w:ascii="Cambria" w:hAnsi="Cambria"/>
                <w:sz w:val="20"/>
                <w:szCs w:val="20"/>
              </w:rPr>
              <w:t>Genérico</w:t>
            </w:r>
          </w:p>
        </w:tc>
        <w:tc>
          <w:tcPr>
            <w:tcW w:w="1731" w:type="dxa"/>
            <w:shd w:val="clear" w:color="auto" w:fill="auto"/>
          </w:tcPr>
          <w:p w:rsidR="00051798" w:rsidRPr="008E25CF" w:rsidRDefault="00051798" w:rsidP="00051798">
            <w:pPr>
              <w:rPr>
                <w:rFonts w:ascii="Cambria" w:hAnsi="Cambria"/>
                <w:sz w:val="22"/>
                <w:szCs w:val="22"/>
              </w:rPr>
            </w:pPr>
            <w:r w:rsidRPr="008E25CF">
              <w:rPr>
                <w:rFonts w:ascii="Cambria" w:hAnsi="Cambria"/>
                <w:sz w:val="22"/>
                <w:szCs w:val="22"/>
              </w:rPr>
              <w:t>LD- (</w:t>
            </w:r>
            <w:r w:rsidRPr="008E25CF">
              <w:rPr>
                <w:rFonts w:ascii="Cambria" w:hAnsi="Cambria"/>
                <w:b/>
                <w:sz w:val="22"/>
                <w:szCs w:val="22"/>
                <w:u w:val="single"/>
              </w:rPr>
              <w:t>colocar el código del equipo</w:t>
            </w:r>
            <w:r w:rsidRPr="008E25CF">
              <w:rPr>
                <w:rFonts w:ascii="Cambria" w:hAnsi="Cambria"/>
                <w:sz w:val="22"/>
                <w:szCs w:val="22"/>
              </w:rPr>
              <w:t>)</w:t>
            </w:r>
          </w:p>
          <w:p w:rsidR="00051798" w:rsidRPr="008E25CF" w:rsidRDefault="00051798" w:rsidP="00051798">
            <w:pPr>
              <w:rPr>
                <w:rFonts w:ascii="Cambria" w:hAnsi="Cambria"/>
                <w:sz w:val="22"/>
                <w:szCs w:val="22"/>
              </w:rPr>
            </w:pPr>
            <w:r w:rsidRPr="008E25CF">
              <w:rPr>
                <w:rFonts w:ascii="Cambria" w:hAnsi="Cambria"/>
                <w:sz w:val="22"/>
                <w:szCs w:val="22"/>
              </w:rPr>
              <w:lastRenderedPageBreak/>
              <w:t>AF- (</w:t>
            </w:r>
            <w:r w:rsidRPr="008E25CF">
              <w:rPr>
                <w:rFonts w:ascii="Cambria" w:hAnsi="Cambria"/>
                <w:b/>
                <w:sz w:val="22"/>
                <w:szCs w:val="22"/>
                <w:u w:val="single"/>
              </w:rPr>
              <w:t>colocar el código del equipo</w:t>
            </w:r>
            <w:r w:rsidRPr="008E25CF">
              <w:rPr>
                <w:rFonts w:ascii="Cambria" w:hAnsi="Cambria"/>
                <w:sz w:val="22"/>
                <w:szCs w:val="22"/>
              </w:rPr>
              <w:t>)</w:t>
            </w:r>
          </w:p>
          <w:p w:rsidR="00051798" w:rsidRPr="00CD4BFD" w:rsidRDefault="00051798" w:rsidP="00051798">
            <w:pPr>
              <w:rPr>
                <w:rFonts w:ascii="Cambria" w:hAnsi="Cambria"/>
                <w:b/>
                <w:sz w:val="20"/>
                <w:szCs w:val="20"/>
              </w:rPr>
            </w:pPr>
            <w:r w:rsidRPr="008E25CF">
              <w:rPr>
                <w:rFonts w:ascii="Cambria" w:hAnsi="Cambria"/>
                <w:sz w:val="22"/>
                <w:szCs w:val="22"/>
              </w:rPr>
              <w:t>SERIE: (</w:t>
            </w:r>
            <w:r w:rsidRPr="008E25CF">
              <w:rPr>
                <w:rFonts w:ascii="Cambria" w:hAnsi="Cambria"/>
                <w:b/>
                <w:sz w:val="22"/>
                <w:szCs w:val="22"/>
                <w:u w:val="single"/>
              </w:rPr>
              <w:t>colocar la serie adjunto archivo de series y códigos de los equipos</w:t>
            </w:r>
            <w:r w:rsidRPr="008E25CF">
              <w:rPr>
                <w:rFonts w:ascii="Cambria" w:hAnsi="Cambria"/>
                <w:sz w:val="22"/>
                <w:szCs w:val="22"/>
              </w:rPr>
              <w:t>)</w:t>
            </w:r>
          </w:p>
        </w:tc>
        <w:tc>
          <w:tcPr>
            <w:tcW w:w="1677" w:type="dxa"/>
            <w:shd w:val="clear" w:color="auto" w:fill="auto"/>
          </w:tcPr>
          <w:p w:rsidR="00051798" w:rsidRPr="00F709C2" w:rsidRDefault="00051798" w:rsidP="00051798">
            <w:pPr>
              <w:jc w:val="right"/>
              <w:rPr>
                <w:rFonts w:ascii="Cambria" w:hAnsi="Cambria"/>
                <w:sz w:val="20"/>
                <w:szCs w:val="20"/>
              </w:rPr>
            </w:pPr>
          </w:p>
          <w:p w:rsidR="00051798" w:rsidRPr="00F709C2" w:rsidRDefault="00051798" w:rsidP="00051798">
            <w:pPr>
              <w:spacing w:line="360" w:lineRule="auto"/>
              <w:ind w:right="81"/>
              <w:jc w:val="right"/>
              <w:rPr>
                <w:rFonts w:ascii="Cambria" w:hAnsi="Cambria"/>
                <w:sz w:val="20"/>
                <w:szCs w:val="20"/>
              </w:rPr>
            </w:pPr>
            <w:r>
              <w:rPr>
                <w:rFonts w:ascii="Cambria" w:hAnsi="Cambria"/>
                <w:sz w:val="20"/>
                <w:szCs w:val="20"/>
              </w:rPr>
              <w:t>$ 157,00</w:t>
            </w:r>
          </w:p>
          <w:p w:rsidR="00051798" w:rsidRPr="00F709C2" w:rsidRDefault="00051798" w:rsidP="00051798">
            <w:pPr>
              <w:spacing w:line="360" w:lineRule="auto"/>
              <w:ind w:right="81"/>
              <w:jc w:val="right"/>
              <w:rPr>
                <w:rFonts w:ascii="Cambria" w:hAnsi="Cambria"/>
                <w:sz w:val="20"/>
                <w:szCs w:val="20"/>
              </w:rPr>
            </w:pPr>
          </w:p>
        </w:tc>
      </w:tr>
      <w:bookmarkEnd w:id="0"/>
    </w:tbl>
    <w:p w:rsidR="00DC1FF6" w:rsidRPr="003A613E" w:rsidRDefault="00DC1FF6" w:rsidP="0011668F">
      <w:pPr>
        <w:autoSpaceDE w:val="0"/>
        <w:autoSpaceDN w:val="0"/>
        <w:adjustRightInd w:val="0"/>
        <w:jc w:val="both"/>
        <w:rPr>
          <w:rFonts w:ascii="Cambria" w:hAnsi="Cambria"/>
          <w:sz w:val="22"/>
          <w:szCs w:val="22"/>
        </w:rPr>
      </w:pPr>
    </w:p>
    <w:p w:rsidR="00EA0BD3" w:rsidRDefault="00EA0BD3" w:rsidP="00DC1FF6">
      <w:pPr>
        <w:spacing w:line="360" w:lineRule="auto"/>
        <w:ind w:right="79"/>
        <w:jc w:val="both"/>
        <w:rPr>
          <w:rFonts w:ascii="Cambria" w:eastAsia="Cambria" w:hAnsi="Cambria" w:cs="Cambria"/>
          <w:b/>
          <w:sz w:val="20"/>
          <w:szCs w:val="20"/>
        </w:rPr>
      </w:pPr>
    </w:p>
    <w:p w:rsidR="00DC1FF6" w:rsidRPr="003A613E" w:rsidRDefault="00DC1FF6" w:rsidP="00DC1FF6">
      <w:pPr>
        <w:spacing w:line="360" w:lineRule="auto"/>
        <w:ind w:right="79"/>
        <w:jc w:val="both"/>
        <w:rPr>
          <w:rFonts w:ascii="Cambria" w:eastAsia="Cambria" w:hAnsi="Cambria" w:cs="Cambria"/>
          <w:b/>
          <w:sz w:val="20"/>
          <w:szCs w:val="20"/>
        </w:rPr>
      </w:pPr>
      <w:r w:rsidRPr="003A613E">
        <w:rPr>
          <w:rFonts w:ascii="Cambria" w:eastAsia="Cambria" w:hAnsi="Cambria" w:cs="Cambria"/>
          <w:b/>
          <w:sz w:val="20"/>
          <w:szCs w:val="20"/>
        </w:rPr>
        <w:t>ACEPTACIÓN DE LAS PARTES:</w:t>
      </w:r>
    </w:p>
    <w:p w:rsidR="004C1256" w:rsidRPr="003A613E" w:rsidRDefault="004C1256" w:rsidP="00DC1FF6">
      <w:pPr>
        <w:spacing w:line="360" w:lineRule="auto"/>
        <w:ind w:right="79"/>
        <w:jc w:val="both"/>
        <w:rPr>
          <w:rFonts w:ascii="Cambria" w:eastAsia="Cambria" w:hAnsi="Cambria" w:cs="Cambria"/>
          <w:b/>
          <w:sz w:val="20"/>
          <w:szCs w:val="20"/>
        </w:rPr>
      </w:pPr>
    </w:p>
    <w:p w:rsidR="00107731" w:rsidRPr="003A613E" w:rsidRDefault="00107731" w:rsidP="00107731">
      <w:pPr>
        <w:spacing w:line="360" w:lineRule="auto"/>
        <w:ind w:right="79"/>
        <w:jc w:val="both"/>
        <w:rPr>
          <w:rFonts w:ascii="Cambria" w:eastAsia="Calibri" w:hAnsi="Cambria"/>
          <w:sz w:val="22"/>
          <w:szCs w:val="22"/>
        </w:rPr>
      </w:pPr>
      <w:r w:rsidRPr="003A613E">
        <w:rPr>
          <w:rFonts w:ascii="Cambria" w:eastAsia="Calibri" w:hAnsi="Cambria"/>
          <w:sz w:val="22"/>
          <w:szCs w:val="22"/>
        </w:rPr>
        <w:t xml:space="preserve">Libre y voluntariamente, previo cumplimiento de todos los requisitos exigidos por las leyes de la materia aplicables, </w:t>
      </w:r>
      <w:r>
        <w:rPr>
          <w:rFonts w:ascii="Cambria" w:eastAsia="Calibri" w:hAnsi="Cambria"/>
          <w:sz w:val="22"/>
          <w:szCs w:val="22"/>
        </w:rPr>
        <w:t>el/</w:t>
      </w:r>
      <w:r w:rsidRPr="003A613E">
        <w:rPr>
          <w:rFonts w:ascii="Cambria" w:eastAsia="Calibri" w:hAnsi="Cambria"/>
          <w:sz w:val="22"/>
          <w:szCs w:val="22"/>
        </w:rPr>
        <w:t xml:space="preserve">la </w:t>
      </w:r>
      <w:r w:rsidRPr="003A613E">
        <w:rPr>
          <w:rFonts w:ascii="Cambria" w:eastAsia="Cambria" w:hAnsi="Cambria" w:cs="Cambria"/>
          <w:color w:val="000000"/>
          <w:sz w:val="22"/>
          <w:szCs w:val="22"/>
          <w:lang w:eastAsia="es-EC"/>
        </w:rPr>
        <w:t>(</w:t>
      </w:r>
      <w:r w:rsidRPr="00900DFA">
        <w:rPr>
          <w:rFonts w:ascii="Cambria" w:eastAsia="Calibri" w:hAnsi="Cambria"/>
          <w:b/>
          <w:sz w:val="22"/>
          <w:szCs w:val="22"/>
        </w:rPr>
        <w:t>colocar – Razón social de la entidad como consta en el RUC</w:t>
      </w:r>
      <w:r w:rsidRPr="003A613E">
        <w:rPr>
          <w:rFonts w:ascii="Cambria" w:eastAsia="Cambria" w:hAnsi="Cambria" w:cs="Cambria"/>
          <w:color w:val="000000"/>
          <w:sz w:val="22"/>
          <w:szCs w:val="22"/>
          <w:lang w:eastAsia="es-EC"/>
        </w:rPr>
        <w:t>)</w:t>
      </w:r>
      <w:r>
        <w:rPr>
          <w:rFonts w:ascii="Cambria" w:eastAsia="Cambria" w:hAnsi="Cambria" w:cs="Cambria"/>
          <w:color w:val="000000"/>
          <w:sz w:val="22"/>
          <w:szCs w:val="22"/>
          <w:lang w:eastAsia="es-EC"/>
        </w:rPr>
        <w:t xml:space="preserve"> </w:t>
      </w:r>
      <w:r w:rsidRPr="003A613E">
        <w:rPr>
          <w:rFonts w:ascii="Cambria" w:eastAsia="Calibri" w:hAnsi="Cambria"/>
          <w:sz w:val="22"/>
          <w:szCs w:val="22"/>
        </w:rPr>
        <w:t>entidad beneficiaria de la transferencia gratuita y/o traspaso, a través de los delegados de la máxima autoridad, manifiestan el acuerdo y la aceptación para recibir por medio de esta acta el Equipo Biométrico de Pago</w:t>
      </w:r>
      <w:r>
        <w:rPr>
          <w:rFonts w:ascii="Cambria" w:eastAsia="Calibri" w:hAnsi="Cambria"/>
          <w:sz w:val="22"/>
          <w:szCs w:val="22"/>
        </w:rPr>
        <w:t xml:space="preserve"> </w:t>
      </w:r>
      <w:r w:rsidRPr="00900DFA">
        <w:rPr>
          <w:rFonts w:ascii="Cambria" w:eastAsia="Calibri" w:hAnsi="Cambria"/>
          <w:sz w:val="22"/>
          <w:szCs w:val="22"/>
        </w:rPr>
        <w:t>que ha sido especificado previamente,</w:t>
      </w:r>
      <w:r w:rsidRPr="003A613E">
        <w:rPr>
          <w:rFonts w:ascii="Cambria" w:eastAsia="Calibri" w:hAnsi="Cambria"/>
          <w:sz w:val="22"/>
          <w:szCs w:val="22"/>
        </w:rPr>
        <w:t xml:space="preserve"> mismo que consta de un lector biométrico y dongle. Así mismo, las partes declaran expresamente su aceptación a todo lo convenido en el presente instrumento, a cuyas estipulaciones se someten, renunciando a cualquier reclamación por la vía Administrativa o Judicial. </w:t>
      </w:r>
      <w:r>
        <w:rPr>
          <w:rFonts w:ascii="Cambria" w:eastAsia="Calibri" w:hAnsi="Cambria"/>
          <w:sz w:val="22"/>
          <w:szCs w:val="22"/>
        </w:rPr>
        <w:t>EL/</w:t>
      </w:r>
      <w:r w:rsidRPr="003A613E">
        <w:rPr>
          <w:rFonts w:ascii="Cambria" w:eastAsia="Calibri" w:hAnsi="Cambria"/>
          <w:sz w:val="22"/>
          <w:szCs w:val="22"/>
        </w:rPr>
        <w:t xml:space="preserve">La </w:t>
      </w:r>
      <w:r w:rsidRPr="003A613E">
        <w:rPr>
          <w:rFonts w:ascii="Cambria" w:eastAsia="Cambria" w:hAnsi="Cambria" w:cs="Cambria"/>
          <w:color w:val="000000"/>
          <w:sz w:val="22"/>
          <w:szCs w:val="22"/>
          <w:lang w:eastAsia="es-EC"/>
        </w:rPr>
        <w:t>(</w:t>
      </w:r>
      <w:r w:rsidRPr="00900DFA">
        <w:rPr>
          <w:rFonts w:ascii="Cambria" w:eastAsia="Calibri" w:hAnsi="Cambria"/>
          <w:b/>
          <w:sz w:val="22"/>
          <w:szCs w:val="22"/>
        </w:rPr>
        <w:t>colocar – Razón social de la entidad como consta en el RUC</w:t>
      </w:r>
      <w:r w:rsidRPr="003A613E">
        <w:rPr>
          <w:rFonts w:ascii="Cambria" w:eastAsia="Cambria" w:hAnsi="Cambria" w:cs="Cambria"/>
          <w:color w:val="000000"/>
          <w:sz w:val="22"/>
          <w:szCs w:val="22"/>
          <w:lang w:eastAsia="es-EC"/>
        </w:rPr>
        <w:t>)</w:t>
      </w:r>
      <w:r>
        <w:rPr>
          <w:rFonts w:ascii="Cambria" w:eastAsia="Cambria" w:hAnsi="Cambria" w:cs="Cambria"/>
          <w:color w:val="000000"/>
          <w:sz w:val="22"/>
          <w:szCs w:val="22"/>
          <w:lang w:eastAsia="es-EC"/>
        </w:rPr>
        <w:t xml:space="preserve"> </w:t>
      </w:r>
      <w:r w:rsidRPr="003A613E">
        <w:rPr>
          <w:rFonts w:ascii="Cambria" w:eastAsia="Calibri" w:hAnsi="Cambria"/>
          <w:sz w:val="22"/>
          <w:szCs w:val="22"/>
        </w:rPr>
        <w:t>entidad beneficiaria expresamente manifiesta que acepta recibir el Equipo Biométrico de Pago, así como realizar todos los trámites y erogaciones a que hubiere lugar para el perfeccionamiento del registro de este acto de transferencia de dominio mediante la figura de Transferencia Gratuita y/o Traspaso que deberá ingresar a sus libros y registrarse ante las entidades competentes.</w:t>
      </w:r>
    </w:p>
    <w:p w:rsidR="00107731" w:rsidRPr="003A613E" w:rsidRDefault="00107731" w:rsidP="00107731">
      <w:pPr>
        <w:spacing w:line="360" w:lineRule="auto"/>
        <w:ind w:right="79"/>
        <w:jc w:val="both"/>
        <w:rPr>
          <w:rFonts w:ascii="Cambria" w:eastAsia="Calibri" w:hAnsi="Cambria"/>
          <w:sz w:val="22"/>
          <w:szCs w:val="22"/>
        </w:rPr>
      </w:pPr>
    </w:p>
    <w:p w:rsidR="00107731" w:rsidRPr="003A613E" w:rsidRDefault="00107731" w:rsidP="00107731">
      <w:pPr>
        <w:spacing w:line="360" w:lineRule="auto"/>
        <w:ind w:right="79"/>
        <w:jc w:val="both"/>
        <w:rPr>
          <w:rFonts w:ascii="Cambria" w:eastAsia="Calibri" w:hAnsi="Cambria"/>
          <w:sz w:val="22"/>
          <w:szCs w:val="22"/>
        </w:rPr>
      </w:pPr>
      <w:r w:rsidRPr="003A613E">
        <w:rPr>
          <w:rFonts w:ascii="Cambria" w:eastAsia="Calibri" w:hAnsi="Cambria"/>
          <w:sz w:val="22"/>
          <w:szCs w:val="22"/>
        </w:rPr>
        <w:t>La transferencia y/o traspaso de bienes es definitiva, en tal sentido, el Ministerio de Economía y Finanzas, deberá reconocer en sus registros contables el egreso de los bienes conforme se encuentre registrado.</w:t>
      </w:r>
    </w:p>
    <w:p w:rsidR="00107731" w:rsidRPr="003A613E" w:rsidRDefault="00107731" w:rsidP="00107731">
      <w:pPr>
        <w:spacing w:line="360" w:lineRule="auto"/>
        <w:ind w:right="79"/>
        <w:jc w:val="both"/>
        <w:rPr>
          <w:rFonts w:ascii="Cambria" w:eastAsia="Calibri" w:hAnsi="Cambria"/>
          <w:sz w:val="22"/>
          <w:szCs w:val="22"/>
        </w:rPr>
      </w:pPr>
    </w:p>
    <w:p w:rsidR="00107731" w:rsidRPr="003A613E" w:rsidRDefault="00107731" w:rsidP="00107731">
      <w:pPr>
        <w:spacing w:line="360" w:lineRule="auto"/>
        <w:ind w:right="79"/>
        <w:jc w:val="both"/>
        <w:rPr>
          <w:rFonts w:ascii="Cambria" w:eastAsia="Calibri" w:hAnsi="Cambria"/>
          <w:sz w:val="22"/>
          <w:szCs w:val="22"/>
        </w:rPr>
      </w:pPr>
      <w:r w:rsidRPr="003A613E">
        <w:rPr>
          <w:rFonts w:ascii="Cambria" w:eastAsia="Cambria" w:hAnsi="Cambria" w:cs="Cambria"/>
          <w:color w:val="000000"/>
          <w:sz w:val="22"/>
          <w:szCs w:val="22"/>
          <w:lang w:eastAsia="es-EC"/>
        </w:rPr>
        <w:t>(</w:t>
      </w:r>
      <w:r w:rsidRPr="00900DFA">
        <w:rPr>
          <w:rFonts w:ascii="Cambria" w:eastAsia="Calibri" w:hAnsi="Cambria"/>
          <w:b/>
          <w:sz w:val="22"/>
          <w:szCs w:val="22"/>
        </w:rPr>
        <w:t>colocar – Razón social de la entidad como consta en el RUC</w:t>
      </w:r>
      <w:r w:rsidRPr="003A613E">
        <w:rPr>
          <w:rFonts w:ascii="Cambria" w:eastAsia="Cambria" w:hAnsi="Cambria" w:cs="Cambria"/>
          <w:color w:val="000000"/>
          <w:sz w:val="22"/>
          <w:szCs w:val="22"/>
          <w:lang w:eastAsia="es-EC"/>
        </w:rPr>
        <w:t>)</w:t>
      </w:r>
      <w:r w:rsidRPr="003A613E">
        <w:rPr>
          <w:rFonts w:ascii="Cambria" w:eastAsia="Calibri" w:hAnsi="Cambria"/>
          <w:sz w:val="22"/>
          <w:szCs w:val="22"/>
        </w:rPr>
        <w:t>, en su calidad de beneficiario, reconocerá en sus registros el ingreso de estos bienes.</w:t>
      </w:r>
    </w:p>
    <w:p w:rsidR="0011668F" w:rsidRDefault="0011668F" w:rsidP="00DC1FF6">
      <w:pPr>
        <w:autoSpaceDE w:val="0"/>
        <w:autoSpaceDN w:val="0"/>
        <w:adjustRightInd w:val="0"/>
        <w:spacing w:line="276" w:lineRule="auto"/>
        <w:jc w:val="both"/>
        <w:rPr>
          <w:rFonts w:ascii="Cambria" w:hAnsi="Cambria"/>
          <w:b/>
          <w:sz w:val="20"/>
          <w:szCs w:val="20"/>
        </w:rPr>
      </w:pPr>
    </w:p>
    <w:p w:rsidR="00CF0A6D" w:rsidRDefault="00CF0A6D" w:rsidP="00DC1FF6">
      <w:pPr>
        <w:spacing w:line="276" w:lineRule="auto"/>
        <w:ind w:right="81"/>
        <w:jc w:val="both"/>
        <w:rPr>
          <w:rFonts w:ascii="Cambria" w:eastAsia="Cambria" w:hAnsi="Cambria" w:cs="Cambria"/>
          <w:b/>
          <w:sz w:val="20"/>
          <w:szCs w:val="20"/>
        </w:rPr>
      </w:pPr>
    </w:p>
    <w:p w:rsidR="00C00653" w:rsidRPr="003A613E" w:rsidRDefault="00C00653" w:rsidP="00DC1FF6">
      <w:pPr>
        <w:spacing w:line="276" w:lineRule="auto"/>
        <w:ind w:right="81"/>
        <w:jc w:val="both"/>
        <w:rPr>
          <w:rFonts w:ascii="Cambria" w:eastAsia="Cambria" w:hAnsi="Cambria" w:cs="Cambria"/>
          <w:b/>
          <w:sz w:val="20"/>
          <w:szCs w:val="20"/>
        </w:rPr>
      </w:pPr>
    </w:p>
    <w:p w:rsidR="00DC1FF6" w:rsidRPr="003A613E" w:rsidRDefault="00DC1FF6" w:rsidP="00DC1FF6">
      <w:pPr>
        <w:spacing w:line="276" w:lineRule="auto"/>
        <w:ind w:right="81"/>
        <w:jc w:val="both"/>
        <w:rPr>
          <w:rFonts w:ascii="Cambria" w:eastAsia="Cambria" w:hAnsi="Cambria" w:cs="Cambria"/>
          <w:b/>
          <w:sz w:val="20"/>
          <w:szCs w:val="20"/>
        </w:rPr>
      </w:pPr>
      <w:r w:rsidRPr="003A613E">
        <w:rPr>
          <w:rFonts w:ascii="Cambria" w:eastAsia="Cambria" w:hAnsi="Cambria" w:cs="Cambria"/>
          <w:b/>
          <w:sz w:val="20"/>
          <w:szCs w:val="20"/>
        </w:rPr>
        <w:t>NOTIFICACIÓN DE LA ACEPTACIÓN DE LA TRANSFERENCIA GRATUITA</w:t>
      </w:r>
      <w:r w:rsidR="00DD446F" w:rsidRPr="003A613E">
        <w:rPr>
          <w:rFonts w:ascii="Cambria" w:eastAsia="Cambria" w:hAnsi="Cambria" w:cs="Cambria"/>
          <w:b/>
          <w:sz w:val="20"/>
          <w:szCs w:val="20"/>
        </w:rPr>
        <w:t xml:space="preserve"> Y/O TRASPSO</w:t>
      </w:r>
      <w:r w:rsidRPr="003A613E">
        <w:rPr>
          <w:rFonts w:ascii="Cambria" w:eastAsia="Cambria" w:hAnsi="Cambria" w:cs="Cambria"/>
          <w:b/>
          <w:sz w:val="20"/>
          <w:szCs w:val="20"/>
        </w:rPr>
        <w:t>:</w:t>
      </w:r>
    </w:p>
    <w:p w:rsidR="00DC1FF6" w:rsidRPr="003A613E" w:rsidRDefault="00DC1FF6" w:rsidP="00DC1FF6">
      <w:pPr>
        <w:spacing w:line="276" w:lineRule="auto"/>
        <w:ind w:right="79"/>
        <w:jc w:val="both"/>
        <w:rPr>
          <w:rFonts w:ascii="Cambria" w:eastAsia="Cambria" w:hAnsi="Cambria" w:cs="Cambria"/>
          <w:b/>
          <w:color w:val="000000"/>
          <w:sz w:val="20"/>
          <w:szCs w:val="20"/>
          <w:u w:val="single"/>
          <w:lang w:eastAsia="es-EC"/>
        </w:rPr>
      </w:pPr>
    </w:p>
    <w:p w:rsidR="00107731" w:rsidRPr="003A613E" w:rsidRDefault="00107731" w:rsidP="00107731">
      <w:pPr>
        <w:spacing w:line="276" w:lineRule="auto"/>
        <w:ind w:right="79"/>
        <w:jc w:val="both"/>
        <w:rPr>
          <w:rFonts w:ascii="Cambria" w:eastAsia="Calibri" w:hAnsi="Cambria"/>
          <w:sz w:val="22"/>
          <w:szCs w:val="22"/>
        </w:rPr>
      </w:pPr>
      <w:r w:rsidRPr="00900DFA">
        <w:rPr>
          <w:rFonts w:ascii="Cambria" w:eastAsia="Cambria" w:hAnsi="Cambria" w:cs="Cambria"/>
          <w:b/>
          <w:color w:val="000000"/>
          <w:sz w:val="22"/>
          <w:szCs w:val="22"/>
          <w:lang w:eastAsia="es-EC"/>
        </w:rPr>
        <w:t>(</w:t>
      </w:r>
      <w:r w:rsidRPr="00900DFA">
        <w:rPr>
          <w:rFonts w:ascii="Cambria" w:eastAsia="Calibri" w:hAnsi="Cambria"/>
          <w:b/>
          <w:sz w:val="22"/>
          <w:szCs w:val="22"/>
        </w:rPr>
        <w:t>colocar – Razón social de la entidad como consta en el RUC</w:t>
      </w:r>
      <w:r w:rsidRPr="003A613E">
        <w:rPr>
          <w:rFonts w:ascii="Cambria" w:eastAsia="Cambria" w:hAnsi="Cambria" w:cs="Cambria"/>
          <w:color w:val="000000"/>
          <w:sz w:val="22"/>
          <w:szCs w:val="22"/>
          <w:lang w:eastAsia="es-EC"/>
        </w:rPr>
        <w:t>)</w:t>
      </w:r>
      <w:r w:rsidRPr="003A613E">
        <w:rPr>
          <w:rFonts w:ascii="Cambria" w:eastAsia="Calibri" w:hAnsi="Cambria"/>
          <w:sz w:val="22"/>
          <w:szCs w:val="22"/>
        </w:rPr>
        <w:t>, se da por notificada con la aceptación de la entrega del bien, en las condiciones que los recibe.</w:t>
      </w:r>
    </w:p>
    <w:p w:rsidR="00CF0A6D" w:rsidRPr="003A613E" w:rsidRDefault="00CF0A6D" w:rsidP="00DC1FF6">
      <w:pPr>
        <w:spacing w:line="276" w:lineRule="auto"/>
        <w:ind w:right="79"/>
        <w:jc w:val="both"/>
        <w:rPr>
          <w:rFonts w:ascii="Cambria" w:eastAsia="Calibri" w:hAnsi="Cambria"/>
          <w:sz w:val="22"/>
          <w:szCs w:val="22"/>
        </w:rPr>
      </w:pPr>
    </w:p>
    <w:p w:rsidR="00DC1FF6" w:rsidRPr="003A613E" w:rsidRDefault="00DC1FF6" w:rsidP="00DC1FF6">
      <w:pPr>
        <w:spacing w:line="276" w:lineRule="auto"/>
        <w:ind w:right="79"/>
        <w:jc w:val="both"/>
        <w:rPr>
          <w:rFonts w:ascii="Cambria" w:eastAsia="Calibri" w:hAnsi="Cambria"/>
          <w:sz w:val="22"/>
          <w:szCs w:val="22"/>
        </w:rPr>
      </w:pPr>
      <w:r w:rsidRPr="003A613E">
        <w:rPr>
          <w:rFonts w:ascii="Cambria" w:eastAsia="Calibri" w:hAnsi="Cambria"/>
          <w:sz w:val="22"/>
          <w:szCs w:val="22"/>
        </w:rPr>
        <w:t>Para constancia y en fe de aceptación y conformidad, las partes suscriben la presente acta de entrega recepción.</w:t>
      </w:r>
    </w:p>
    <w:p w:rsidR="004F0845" w:rsidRPr="003A613E" w:rsidRDefault="004F0845" w:rsidP="00DC1FF6">
      <w:pPr>
        <w:spacing w:line="276" w:lineRule="auto"/>
        <w:ind w:right="79"/>
        <w:jc w:val="both"/>
        <w:rPr>
          <w:rFonts w:ascii="Cambria" w:eastAsia="Calibri" w:hAnsi="Cambria"/>
          <w:sz w:val="22"/>
          <w:szCs w:val="22"/>
        </w:rPr>
      </w:pPr>
    </w:p>
    <w:p w:rsidR="00FE0D66" w:rsidRDefault="00107731" w:rsidP="00DC1FF6">
      <w:pPr>
        <w:spacing w:line="276" w:lineRule="auto"/>
        <w:ind w:right="79"/>
        <w:jc w:val="both"/>
        <w:rPr>
          <w:rFonts w:ascii="Cambria" w:eastAsia="Calibri" w:hAnsi="Cambria"/>
          <w:sz w:val="22"/>
          <w:szCs w:val="22"/>
        </w:rPr>
      </w:pPr>
      <w:r w:rsidRPr="003A613E">
        <w:rPr>
          <w:rFonts w:ascii="Cambria" w:eastAsia="Calibri" w:hAnsi="Cambria"/>
          <w:sz w:val="22"/>
          <w:szCs w:val="22"/>
        </w:rPr>
        <w:t>En la ciudad de Quito, a</w:t>
      </w:r>
      <w:r>
        <w:rPr>
          <w:rFonts w:ascii="Cambria" w:eastAsia="Calibri" w:hAnsi="Cambria"/>
          <w:sz w:val="22"/>
          <w:szCs w:val="22"/>
        </w:rPr>
        <w:t xml:space="preserve"> los</w:t>
      </w:r>
      <w:r w:rsidRPr="003A613E">
        <w:rPr>
          <w:rFonts w:ascii="Cambria" w:eastAsia="Calibri" w:hAnsi="Cambria"/>
          <w:sz w:val="22"/>
          <w:szCs w:val="22"/>
        </w:rPr>
        <w:t xml:space="preserve"> </w:t>
      </w:r>
      <w:r>
        <w:rPr>
          <w:rFonts w:ascii="Cambria" w:eastAsia="Calibri" w:hAnsi="Cambria"/>
          <w:sz w:val="22"/>
          <w:szCs w:val="22"/>
        </w:rPr>
        <w:t>(</w:t>
      </w:r>
      <w:r w:rsidRPr="00900DFA">
        <w:rPr>
          <w:rFonts w:ascii="Cambria" w:eastAsia="Calibri" w:hAnsi="Cambria"/>
          <w:b/>
          <w:sz w:val="22"/>
          <w:szCs w:val="22"/>
        </w:rPr>
        <w:t>colocar el día en números</w:t>
      </w:r>
      <w:r>
        <w:rPr>
          <w:rFonts w:ascii="Cambria" w:eastAsia="Calibri" w:hAnsi="Cambria"/>
          <w:sz w:val="22"/>
          <w:szCs w:val="22"/>
        </w:rPr>
        <w:t xml:space="preserve">) </w:t>
      </w:r>
      <w:r w:rsidRPr="003A613E">
        <w:rPr>
          <w:rFonts w:ascii="Cambria" w:eastAsia="Calibri" w:hAnsi="Cambria"/>
          <w:sz w:val="22"/>
          <w:szCs w:val="22"/>
        </w:rPr>
        <w:t>días</w:t>
      </w:r>
      <w:r>
        <w:rPr>
          <w:rFonts w:ascii="Cambria" w:eastAsia="Calibri" w:hAnsi="Cambria"/>
          <w:sz w:val="22"/>
          <w:szCs w:val="22"/>
        </w:rPr>
        <w:t xml:space="preserve"> </w:t>
      </w:r>
      <w:r w:rsidRPr="003A613E">
        <w:rPr>
          <w:rFonts w:ascii="Cambria" w:eastAsia="Calibri" w:hAnsi="Cambria"/>
          <w:sz w:val="22"/>
          <w:szCs w:val="22"/>
        </w:rPr>
        <w:t>del mes de</w:t>
      </w:r>
      <w:r>
        <w:rPr>
          <w:rFonts w:ascii="Cambria" w:eastAsia="Calibri" w:hAnsi="Cambria"/>
          <w:sz w:val="22"/>
          <w:szCs w:val="22"/>
        </w:rPr>
        <w:t xml:space="preserve"> (</w:t>
      </w:r>
      <w:r w:rsidRPr="00900DFA">
        <w:rPr>
          <w:rFonts w:ascii="Cambria" w:eastAsia="Calibri" w:hAnsi="Cambria"/>
          <w:b/>
          <w:sz w:val="22"/>
          <w:szCs w:val="22"/>
        </w:rPr>
        <w:t xml:space="preserve">colocar el </w:t>
      </w:r>
      <w:r>
        <w:rPr>
          <w:rFonts w:ascii="Cambria" w:eastAsia="Calibri" w:hAnsi="Cambria"/>
          <w:b/>
          <w:sz w:val="22"/>
          <w:szCs w:val="22"/>
        </w:rPr>
        <w:t>mes</w:t>
      </w:r>
      <w:r w:rsidRPr="00900DFA">
        <w:rPr>
          <w:rFonts w:ascii="Cambria" w:eastAsia="Calibri" w:hAnsi="Cambria"/>
          <w:b/>
          <w:sz w:val="22"/>
          <w:szCs w:val="22"/>
        </w:rPr>
        <w:t xml:space="preserve"> en </w:t>
      </w:r>
      <w:r>
        <w:rPr>
          <w:rFonts w:ascii="Cambria" w:eastAsia="Calibri" w:hAnsi="Cambria"/>
          <w:b/>
          <w:sz w:val="22"/>
          <w:szCs w:val="22"/>
        </w:rPr>
        <w:t>letras</w:t>
      </w:r>
      <w:r>
        <w:rPr>
          <w:rFonts w:ascii="Cambria" w:eastAsia="Calibri" w:hAnsi="Cambria"/>
          <w:sz w:val="22"/>
          <w:szCs w:val="22"/>
        </w:rPr>
        <w:t xml:space="preserve">) </w:t>
      </w:r>
      <w:r w:rsidRPr="003A613E">
        <w:rPr>
          <w:rFonts w:ascii="Cambria" w:eastAsia="Calibri" w:hAnsi="Cambria"/>
          <w:sz w:val="22"/>
          <w:szCs w:val="22"/>
        </w:rPr>
        <w:t>de 202</w:t>
      </w:r>
      <w:r w:rsidR="00A937B2">
        <w:rPr>
          <w:rFonts w:ascii="Cambria" w:eastAsia="Calibri" w:hAnsi="Cambria"/>
          <w:sz w:val="22"/>
          <w:szCs w:val="22"/>
        </w:rPr>
        <w:t>3</w:t>
      </w:r>
      <w:r w:rsidRPr="003A613E">
        <w:rPr>
          <w:rFonts w:ascii="Cambria" w:eastAsia="Calibri" w:hAnsi="Cambria"/>
          <w:sz w:val="22"/>
          <w:szCs w:val="22"/>
        </w:rPr>
        <w:t>.</w:t>
      </w:r>
    </w:p>
    <w:p w:rsidR="00107731" w:rsidRPr="003A613E" w:rsidRDefault="00107731" w:rsidP="00DC1FF6">
      <w:pPr>
        <w:spacing w:line="276" w:lineRule="auto"/>
        <w:ind w:right="79"/>
        <w:jc w:val="both"/>
        <w:rPr>
          <w:rFonts w:ascii="Cambria" w:eastAsia="Calibri"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4244"/>
      </w:tblGrid>
      <w:tr w:rsidR="00BC02E8" w:rsidRPr="003A613E" w:rsidTr="00FD2F47">
        <w:tc>
          <w:tcPr>
            <w:tcW w:w="8488" w:type="dxa"/>
            <w:gridSpan w:val="2"/>
            <w:shd w:val="clear" w:color="auto" w:fill="auto"/>
          </w:tcPr>
          <w:p w:rsidR="00BC02E8" w:rsidRPr="003A613E" w:rsidRDefault="00BC02E8" w:rsidP="00FD2F47">
            <w:pPr>
              <w:spacing w:line="360" w:lineRule="auto"/>
              <w:ind w:right="81"/>
              <w:jc w:val="center"/>
              <w:rPr>
                <w:rFonts w:ascii="Cambria" w:eastAsia="Cambria" w:hAnsi="Cambria" w:cs="Cambria"/>
                <w:b/>
                <w:sz w:val="20"/>
                <w:szCs w:val="20"/>
              </w:rPr>
            </w:pPr>
            <w:r w:rsidRPr="003A613E">
              <w:rPr>
                <w:rFonts w:ascii="Cambria" w:eastAsia="Cambria" w:hAnsi="Cambria" w:cs="Cambria"/>
                <w:b/>
                <w:sz w:val="20"/>
                <w:szCs w:val="20"/>
              </w:rPr>
              <w:t>ENTREGA POR EL MINISTERIO DE ECONOMÍA Y FINANZAS:</w:t>
            </w:r>
          </w:p>
        </w:tc>
      </w:tr>
      <w:tr w:rsidR="00BC02E8" w:rsidRPr="003A613E" w:rsidTr="00FD2F47">
        <w:tc>
          <w:tcPr>
            <w:tcW w:w="4244" w:type="dxa"/>
            <w:shd w:val="clear" w:color="auto" w:fill="auto"/>
          </w:tcPr>
          <w:p w:rsidR="00BC02E8" w:rsidRPr="003A613E" w:rsidRDefault="00BC02E8" w:rsidP="00FD2F47">
            <w:pPr>
              <w:spacing w:line="276" w:lineRule="auto"/>
              <w:ind w:right="79"/>
              <w:jc w:val="both"/>
              <w:rPr>
                <w:rFonts w:ascii="Cambria" w:eastAsia="Calibri" w:hAnsi="Cambria"/>
                <w:sz w:val="22"/>
                <w:szCs w:val="22"/>
              </w:rPr>
            </w:pPr>
          </w:p>
          <w:p w:rsidR="00BC02E8" w:rsidRPr="003A613E" w:rsidRDefault="00BC02E8" w:rsidP="00FD2F47">
            <w:pPr>
              <w:spacing w:line="276" w:lineRule="auto"/>
              <w:ind w:right="79"/>
              <w:jc w:val="both"/>
              <w:rPr>
                <w:rFonts w:ascii="Cambria" w:eastAsia="Calibri" w:hAnsi="Cambria"/>
                <w:sz w:val="22"/>
                <w:szCs w:val="22"/>
              </w:rPr>
            </w:pPr>
          </w:p>
          <w:p w:rsidR="00BC02E8" w:rsidRPr="003A613E" w:rsidRDefault="00BC02E8" w:rsidP="00FD2F47">
            <w:pPr>
              <w:spacing w:line="276" w:lineRule="auto"/>
              <w:ind w:right="79"/>
              <w:jc w:val="both"/>
              <w:rPr>
                <w:rFonts w:ascii="Cambria" w:eastAsia="Calibri" w:hAnsi="Cambria"/>
                <w:sz w:val="22"/>
                <w:szCs w:val="22"/>
              </w:rPr>
            </w:pPr>
          </w:p>
          <w:p w:rsidR="00BC02E8" w:rsidRPr="003A613E" w:rsidRDefault="00BC02E8" w:rsidP="00FD2F47">
            <w:pPr>
              <w:spacing w:line="276" w:lineRule="auto"/>
              <w:ind w:right="79"/>
              <w:jc w:val="both"/>
              <w:rPr>
                <w:rFonts w:ascii="Cambria" w:eastAsia="Calibri" w:hAnsi="Cambria"/>
                <w:sz w:val="22"/>
                <w:szCs w:val="22"/>
              </w:rPr>
            </w:pPr>
          </w:p>
        </w:tc>
        <w:tc>
          <w:tcPr>
            <w:tcW w:w="4244" w:type="dxa"/>
            <w:shd w:val="clear" w:color="auto" w:fill="auto"/>
          </w:tcPr>
          <w:p w:rsidR="00BC02E8" w:rsidRPr="003A613E" w:rsidRDefault="00BC02E8" w:rsidP="00FD2F47">
            <w:pPr>
              <w:spacing w:line="276" w:lineRule="auto"/>
              <w:ind w:right="79"/>
              <w:jc w:val="both"/>
              <w:rPr>
                <w:rFonts w:ascii="Cambria" w:eastAsia="Calibri" w:hAnsi="Cambria"/>
                <w:sz w:val="22"/>
                <w:szCs w:val="22"/>
              </w:rPr>
            </w:pPr>
          </w:p>
        </w:tc>
      </w:tr>
      <w:tr w:rsidR="0070671A" w:rsidRPr="003A613E" w:rsidTr="00FD2F47">
        <w:tc>
          <w:tcPr>
            <w:tcW w:w="4244" w:type="dxa"/>
            <w:shd w:val="clear" w:color="auto" w:fill="auto"/>
          </w:tcPr>
          <w:p w:rsidR="0070671A" w:rsidRPr="003A613E" w:rsidRDefault="0070671A" w:rsidP="0070671A">
            <w:pPr>
              <w:spacing w:line="276" w:lineRule="auto"/>
              <w:ind w:right="79"/>
              <w:jc w:val="both"/>
              <w:rPr>
                <w:rFonts w:ascii="Cambria" w:eastAsia="Calibri" w:hAnsi="Cambria"/>
                <w:sz w:val="22"/>
                <w:szCs w:val="22"/>
              </w:rPr>
            </w:pPr>
            <w:r w:rsidRPr="00915BC0">
              <w:rPr>
                <w:rFonts w:ascii="Cambria" w:eastAsia="Calibri" w:hAnsi="Cambria"/>
                <w:sz w:val="20"/>
                <w:szCs w:val="20"/>
              </w:rPr>
              <w:t>Ing. Luz Marina Rumazo Contreras</w:t>
            </w:r>
            <w:r w:rsidRPr="0078112E">
              <w:rPr>
                <w:rFonts w:ascii="Cambria" w:eastAsia="Cambria" w:hAnsi="Cambria" w:cs="Cambria"/>
                <w:spacing w:val="-2"/>
                <w:sz w:val="22"/>
                <w:szCs w:val="22"/>
              </w:rPr>
              <w:t xml:space="preserve"> </w:t>
            </w:r>
          </w:p>
        </w:tc>
        <w:tc>
          <w:tcPr>
            <w:tcW w:w="4244" w:type="dxa"/>
            <w:shd w:val="clear" w:color="auto" w:fill="auto"/>
          </w:tcPr>
          <w:p w:rsidR="0070671A" w:rsidRPr="003A613E" w:rsidRDefault="0070671A" w:rsidP="0070671A">
            <w:pPr>
              <w:spacing w:line="276" w:lineRule="auto"/>
              <w:ind w:right="79"/>
              <w:jc w:val="both"/>
              <w:rPr>
                <w:rFonts w:ascii="Cambria" w:eastAsia="Calibri" w:hAnsi="Cambria"/>
                <w:sz w:val="22"/>
                <w:szCs w:val="22"/>
              </w:rPr>
            </w:pPr>
            <w:r>
              <w:rPr>
                <w:rFonts w:ascii="Cambria" w:eastAsia="Calibri" w:hAnsi="Cambria"/>
                <w:sz w:val="20"/>
                <w:szCs w:val="20"/>
              </w:rPr>
              <w:t>Mgs .Doris del Rocio Bonilla Changoluisa</w:t>
            </w:r>
          </w:p>
        </w:tc>
      </w:tr>
      <w:tr w:rsidR="0070671A" w:rsidRPr="003A613E" w:rsidTr="00FD2F47">
        <w:tc>
          <w:tcPr>
            <w:tcW w:w="4244" w:type="dxa"/>
            <w:shd w:val="clear" w:color="auto" w:fill="auto"/>
          </w:tcPr>
          <w:p w:rsidR="0070671A" w:rsidRPr="003A613E" w:rsidRDefault="0070671A" w:rsidP="0070671A">
            <w:pPr>
              <w:spacing w:line="276" w:lineRule="auto"/>
              <w:ind w:right="79"/>
              <w:jc w:val="both"/>
              <w:rPr>
                <w:rFonts w:ascii="Cambria" w:eastAsia="Calibri" w:hAnsi="Cambria"/>
                <w:sz w:val="20"/>
                <w:szCs w:val="20"/>
              </w:rPr>
            </w:pPr>
            <w:r w:rsidRPr="003A613E">
              <w:rPr>
                <w:rFonts w:ascii="Cambria" w:eastAsia="Calibri" w:hAnsi="Cambria"/>
                <w:b/>
                <w:sz w:val="20"/>
                <w:szCs w:val="20"/>
              </w:rPr>
              <w:t xml:space="preserve">CI: </w:t>
            </w:r>
            <w:r>
              <w:rPr>
                <w:rFonts w:ascii="Cambria" w:eastAsia="Calibri" w:hAnsi="Cambria"/>
                <w:sz w:val="20"/>
                <w:szCs w:val="20"/>
              </w:rPr>
              <w:t>0922646054</w:t>
            </w:r>
          </w:p>
        </w:tc>
        <w:tc>
          <w:tcPr>
            <w:tcW w:w="4244" w:type="dxa"/>
            <w:shd w:val="clear" w:color="auto" w:fill="auto"/>
          </w:tcPr>
          <w:p w:rsidR="0070671A" w:rsidRPr="003A613E" w:rsidRDefault="00BE52BB" w:rsidP="0070671A">
            <w:pPr>
              <w:spacing w:line="276" w:lineRule="auto"/>
              <w:ind w:right="79"/>
              <w:jc w:val="both"/>
              <w:rPr>
                <w:rFonts w:ascii="Cambria" w:eastAsia="Calibri" w:hAnsi="Cambria"/>
                <w:sz w:val="20"/>
                <w:szCs w:val="20"/>
              </w:rPr>
            </w:pPr>
            <w:r w:rsidRPr="003A613E">
              <w:rPr>
                <w:rFonts w:ascii="Cambria" w:eastAsia="Calibri" w:hAnsi="Cambria"/>
                <w:b/>
                <w:sz w:val="20"/>
                <w:szCs w:val="20"/>
              </w:rPr>
              <w:t xml:space="preserve">CI: </w:t>
            </w:r>
            <w:r w:rsidRPr="003A613E">
              <w:rPr>
                <w:rFonts w:ascii="Cambria" w:eastAsia="Calibri" w:hAnsi="Cambria"/>
                <w:sz w:val="20"/>
                <w:szCs w:val="20"/>
              </w:rPr>
              <w:t>1715720783</w:t>
            </w:r>
          </w:p>
        </w:tc>
      </w:tr>
      <w:tr w:rsidR="0070671A" w:rsidRPr="003A613E" w:rsidTr="00FD2F47">
        <w:tc>
          <w:tcPr>
            <w:tcW w:w="4244" w:type="dxa"/>
            <w:shd w:val="clear" w:color="auto" w:fill="auto"/>
          </w:tcPr>
          <w:p w:rsidR="0070671A" w:rsidRPr="003A613E" w:rsidRDefault="0070671A" w:rsidP="0070671A">
            <w:pPr>
              <w:spacing w:line="276" w:lineRule="auto"/>
              <w:ind w:right="79"/>
              <w:rPr>
                <w:rFonts w:ascii="Cambria" w:eastAsia="Calibri" w:hAnsi="Cambria"/>
                <w:sz w:val="22"/>
                <w:szCs w:val="22"/>
              </w:rPr>
            </w:pPr>
            <w:r w:rsidRPr="003A613E">
              <w:rPr>
                <w:rFonts w:ascii="Cambria" w:eastAsia="Calibri" w:hAnsi="Cambria"/>
                <w:b/>
                <w:sz w:val="20"/>
                <w:szCs w:val="20"/>
              </w:rPr>
              <w:t>COORDINADORA GENERAL ADMINISTRATIV</w:t>
            </w:r>
            <w:r>
              <w:rPr>
                <w:rFonts w:ascii="Cambria" w:eastAsia="Calibri" w:hAnsi="Cambria"/>
                <w:b/>
                <w:sz w:val="20"/>
                <w:szCs w:val="20"/>
              </w:rPr>
              <w:t>A</w:t>
            </w:r>
            <w:r w:rsidRPr="003A613E">
              <w:rPr>
                <w:rFonts w:ascii="Cambria" w:eastAsia="Calibri" w:hAnsi="Cambria"/>
                <w:b/>
                <w:sz w:val="20"/>
                <w:szCs w:val="20"/>
              </w:rPr>
              <w:t xml:space="preserve"> FINANCIER</w:t>
            </w:r>
            <w:r>
              <w:rPr>
                <w:rFonts w:ascii="Cambria" w:eastAsia="Calibri" w:hAnsi="Cambria"/>
                <w:b/>
                <w:sz w:val="20"/>
                <w:szCs w:val="20"/>
              </w:rPr>
              <w:t>A</w:t>
            </w:r>
          </w:p>
        </w:tc>
        <w:tc>
          <w:tcPr>
            <w:tcW w:w="4244" w:type="dxa"/>
            <w:shd w:val="clear" w:color="auto" w:fill="auto"/>
          </w:tcPr>
          <w:p w:rsidR="0070671A" w:rsidRPr="003A613E" w:rsidRDefault="0070671A" w:rsidP="008F71D2">
            <w:pPr>
              <w:spacing w:line="276" w:lineRule="auto"/>
              <w:ind w:right="79"/>
              <w:jc w:val="both"/>
              <w:rPr>
                <w:rFonts w:ascii="Cambria" w:eastAsia="Calibri" w:hAnsi="Cambria"/>
                <w:sz w:val="22"/>
                <w:szCs w:val="22"/>
              </w:rPr>
            </w:pPr>
            <w:r w:rsidRPr="003A613E">
              <w:rPr>
                <w:rFonts w:ascii="Cambria" w:eastAsia="Calibri" w:hAnsi="Cambria"/>
                <w:b/>
                <w:sz w:val="20"/>
                <w:szCs w:val="20"/>
              </w:rPr>
              <w:t xml:space="preserve">DIRECTOR/A </w:t>
            </w:r>
            <w:r w:rsidR="008F71D2">
              <w:rPr>
                <w:rFonts w:ascii="Cambria" w:eastAsia="Calibri" w:hAnsi="Cambria"/>
                <w:b/>
                <w:sz w:val="20"/>
                <w:szCs w:val="20"/>
              </w:rPr>
              <w:t>ADMINISTRATIVA</w:t>
            </w:r>
          </w:p>
        </w:tc>
      </w:tr>
      <w:tr w:rsidR="00BC02E8" w:rsidRPr="003A613E" w:rsidTr="00FD2F47">
        <w:tc>
          <w:tcPr>
            <w:tcW w:w="4244" w:type="dxa"/>
            <w:shd w:val="clear" w:color="auto" w:fill="auto"/>
          </w:tcPr>
          <w:p w:rsidR="00BC02E8" w:rsidRPr="003A613E" w:rsidRDefault="00BC02E8" w:rsidP="00FD2F47">
            <w:pPr>
              <w:spacing w:line="276" w:lineRule="auto"/>
              <w:ind w:right="79"/>
              <w:jc w:val="both"/>
              <w:rPr>
                <w:rFonts w:ascii="Cambria" w:eastAsia="Calibri" w:hAnsi="Cambria"/>
                <w:sz w:val="22"/>
                <w:szCs w:val="22"/>
              </w:rPr>
            </w:pPr>
          </w:p>
          <w:p w:rsidR="00BC02E8" w:rsidRPr="003A613E" w:rsidRDefault="00BC02E8" w:rsidP="00FD2F47">
            <w:pPr>
              <w:spacing w:line="276" w:lineRule="auto"/>
              <w:ind w:right="79"/>
              <w:jc w:val="both"/>
              <w:rPr>
                <w:rFonts w:ascii="Cambria" w:eastAsia="Calibri" w:hAnsi="Cambria"/>
                <w:sz w:val="22"/>
                <w:szCs w:val="22"/>
              </w:rPr>
            </w:pPr>
          </w:p>
          <w:p w:rsidR="00BC02E8" w:rsidRPr="003A613E" w:rsidRDefault="00BC02E8" w:rsidP="00FD2F47">
            <w:pPr>
              <w:spacing w:line="276" w:lineRule="auto"/>
              <w:ind w:right="79"/>
              <w:jc w:val="both"/>
              <w:rPr>
                <w:rFonts w:ascii="Cambria" w:eastAsia="Calibri" w:hAnsi="Cambria"/>
                <w:sz w:val="22"/>
                <w:szCs w:val="22"/>
              </w:rPr>
            </w:pPr>
          </w:p>
          <w:p w:rsidR="00BC02E8" w:rsidRPr="003A613E" w:rsidRDefault="00BC02E8" w:rsidP="00FD2F47">
            <w:pPr>
              <w:spacing w:line="276" w:lineRule="auto"/>
              <w:ind w:right="79"/>
              <w:jc w:val="both"/>
              <w:rPr>
                <w:rFonts w:ascii="Cambria" w:eastAsia="Calibri" w:hAnsi="Cambria"/>
                <w:sz w:val="22"/>
                <w:szCs w:val="22"/>
              </w:rPr>
            </w:pPr>
          </w:p>
        </w:tc>
        <w:tc>
          <w:tcPr>
            <w:tcW w:w="4244" w:type="dxa"/>
            <w:shd w:val="clear" w:color="auto" w:fill="auto"/>
          </w:tcPr>
          <w:p w:rsidR="00BC02E8" w:rsidRPr="003A613E" w:rsidRDefault="00BC02E8" w:rsidP="00FD2F47">
            <w:pPr>
              <w:spacing w:line="276" w:lineRule="auto"/>
              <w:ind w:right="79"/>
              <w:jc w:val="both"/>
              <w:rPr>
                <w:rFonts w:ascii="Cambria" w:eastAsia="Calibri" w:hAnsi="Cambria"/>
                <w:sz w:val="22"/>
                <w:szCs w:val="22"/>
              </w:rPr>
            </w:pPr>
          </w:p>
        </w:tc>
      </w:tr>
      <w:tr w:rsidR="00BC02E8" w:rsidRPr="003A613E" w:rsidTr="00FD2F47">
        <w:tc>
          <w:tcPr>
            <w:tcW w:w="4244" w:type="dxa"/>
            <w:shd w:val="clear" w:color="auto" w:fill="auto"/>
          </w:tcPr>
          <w:p w:rsidR="00BC02E8" w:rsidRPr="003A613E" w:rsidRDefault="00BC02E8" w:rsidP="00FD2F47">
            <w:pPr>
              <w:spacing w:line="276" w:lineRule="auto"/>
              <w:ind w:right="79"/>
              <w:jc w:val="both"/>
              <w:rPr>
                <w:rFonts w:ascii="Cambria" w:eastAsia="Calibri" w:hAnsi="Cambria"/>
                <w:sz w:val="22"/>
                <w:szCs w:val="22"/>
              </w:rPr>
            </w:pPr>
            <w:r w:rsidRPr="003A613E">
              <w:rPr>
                <w:rFonts w:ascii="Cambria" w:eastAsia="Calibri" w:hAnsi="Cambria"/>
                <w:sz w:val="20"/>
                <w:szCs w:val="20"/>
              </w:rPr>
              <w:t>Lcdo. Franklin Gustavo Cumba Jara</w:t>
            </w:r>
          </w:p>
        </w:tc>
        <w:tc>
          <w:tcPr>
            <w:tcW w:w="4244" w:type="dxa"/>
            <w:shd w:val="clear" w:color="auto" w:fill="auto"/>
          </w:tcPr>
          <w:p w:rsidR="00BC02E8" w:rsidRPr="003A613E" w:rsidRDefault="00BC02E8" w:rsidP="00FD2F47">
            <w:pPr>
              <w:spacing w:line="276" w:lineRule="auto"/>
              <w:ind w:right="79"/>
              <w:jc w:val="both"/>
              <w:rPr>
                <w:rFonts w:ascii="Cambria" w:eastAsia="Calibri" w:hAnsi="Cambria"/>
                <w:sz w:val="22"/>
                <w:szCs w:val="22"/>
              </w:rPr>
            </w:pPr>
            <w:r w:rsidRPr="003A613E">
              <w:rPr>
                <w:rFonts w:ascii="Cambria" w:eastAsia="Calibri" w:hAnsi="Cambria"/>
                <w:sz w:val="20"/>
                <w:szCs w:val="20"/>
              </w:rPr>
              <w:t>Lcdo. Paúl Rodrigo Utreras Ronquillo</w:t>
            </w:r>
          </w:p>
        </w:tc>
      </w:tr>
      <w:tr w:rsidR="00BC02E8" w:rsidRPr="003A613E" w:rsidTr="00FD2F47">
        <w:tc>
          <w:tcPr>
            <w:tcW w:w="4244" w:type="dxa"/>
            <w:shd w:val="clear" w:color="auto" w:fill="auto"/>
          </w:tcPr>
          <w:p w:rsidR="00BC02E8" w:rsidRPr="003A613E" w:rsidRDefault="00BC02E8" w:rsidP="00FD2F47">
            <w:pPr>
              <w:spacing w:line="276" w:lineRule="auto"/>
              <w:ind w:right="79"/>
              <w:jc w:val="both"/>
              <w:rPr>
                <w:rFonts w:ascii="Cambria" w:eastAsia="Calibri" w:hAnsi="Cambria"/>
                <w:sz w:val="20"/>
                <w:szCs w:val="20"/>
              </w:rPr>
            </w:pPr>
            <w:r w:rsidRPr="003A613E">
              <w:rPr>
                <w:rFonts w:ascii="Cambria" w:eastAsia="Calibri" w:hAnsi="Cambria"/>
                <w:b/>
                <w:sz w:val="20"/>
                <w:szCs w:val="20"/>
              </w:rPr>
              <w:t xml:space="preserve">CI: </w:t>
            </w:r>
            <w:r w:rsidRPr="003A613E">
              <w:rPr>
                <w:rFonts w:ascii="Cambria" w:eastAsia="Calibri" w:hAnsi="Cambria"/>
                <w:sz w:val="20"/>
                <w:szCs w:val="20"/>
              </w:rPr>
              <w:t>0909823932</w:t>
            </w:r>
          </w:p>
        </w:tc>
        <w:tc>
          <w:tcPr>
            <w:tcW w:w="4244" w:type="dxa"/>
            <w:shd w:val="clear" w:color="auto" w:fill="auto"/>
          </w:tcPr>
          <w:p w:rsidR="00BC02E8" w:rsidRPr="003A613E" w:rsidRDefault="00BC02E8" w:rsidP="00FD2F47">
            <w:pPr>
              <w:spacing w:line="276" w:lineRule="auto"/>
              <w:ind w:right="79"/>
              <w:jc w:val="both"/>
              <w:rPr>
                <w:rFonts w:ascii="Cambria" w:eastAsia="Calibri" w:hAnsi="Cambria"/>
                <w:sz w:val="20"/>
                <w:szCs w:val="20"/>
              </w:rPr>
            </w:pPr>
            <w:r w:rsidRPr="003A613E">
              <w:rPr>
                <w:rFonts w:ascii="Cambria" w:eastAsia="Calibri" w:hAnsi="Cambria"/>
                <w:b/>
                <w:sz w:val="20"/>
                <w:szCs w:val="20"/>
              </w:rPr>
              <w:t xml:space="preserve">CI: </w:t>
            </w:r>
            <w:r w:rsidRPr="003A613E">
              <w:rPr>
                <w:rFonts w:ascii="Cambria" w:eastAsia="Calibri" w:hAnsi="Cambria"/>
                <w:sz w:val="20"/>
                <w:szCs w:val="20"/>
              </w:rPr>
              <w:t>1714012869</w:t>
            </w:r>
          </w:p>
        </w:tc>
      </w:tr>
      <w:tr w:rsidR="00BC02E8" w:rsidRPr="003A613E" w:rsidTr="00FD2F47">
        <w:tc>
          <w:tcPr>
            <w:tcW w:w="4244" w:type="dxa"/>
            <w:shd w:val="clear" w:color="auto" w:fill="auto"/>
          </w:tcPr>
          <w:p w:rsidR="00BC02E8" w:rsidRPr="003A613E" w:rsidRDefault="00BC02E8" w:rsidP="00FD2F47">
            <w:pPr>
              <w:spacing w:line="276" w:lineRule="auto"/>
              <w:ind w:right="79"/>
              <w:jc w:val="both"/>
              <w:rPr>
                <w:rFonts w:ascii="Cambria" w:eastAsia="Calibri" w:hAnsi="Cambria"/>
                <w:sz w:val="22"/>
                <w:szCs w:val="22"/>
              </w:rPr>
            </w:pPr>
            <w:r w:rsidRPr="003A613E">
              <w:rPr>
                <w:rFonts w:ascii="Cambria" w:eastAsia="Calibri" w:hAnsi="Cambria"/>
                <w:b/>
                <w:sz w:val="20"/>
                <w:szCs w:val="20"/>
              </w:rPr>
              <w:t>DIRECTOR/A FINANCIERO</w:t>
            </w:r>
          </w:p>
        </w:tc>
        <w:tc>
          <w:tcPr>
            <w:tcW w:w="4244" w:type="dxa"/>
            <w:shd w:val="clear" w:color="auto" w:fill="auto"/>
          </w:tcPr>
          <w:p w:rsidR="00BC02E8" w:rsidRPr="003A613E" w:rsidRDefault="00BC02E8" w:rsidP="00DC65AB">
            <w:pPr>
              <w:spacing w:line="360" w:lineRule="auto"/>
              <w:ind w:right="81"/>
              <w:rPr>
                <w:rFonts w:ascii="Cambria" w:eastAsia="Calibri" w:hAnsi="Cambria"/>
                <w:b/>
                <w:sz w:val="20"/>
                <w:szCs w:val="20"/>
              </w:rPr>
            </w:pPr>
            <w:r w:rsidRPr="003A613E">
              <w:rPr>
                <w:rFonts w:ascii="Cambria" w:eastAsia="Calibri" w:hAnsi="Cambria"/>
                <w:b/>
                <w:sz w:val="20"/>
                <w:szCs w:val="20"/>
              </w:rPr>
              <w:t xml:space="preserve">GUARDALMACÉN DE </w:t>
            </w:r>
            <w:r w:rsidR="00DC65AB">
              <w:rPr>
                <w:rFonts w:ascii="Cambria" w:eastAsia="Calibri" w:hAnsi="Cambria"/>
                <w:b/>
                <w:sz w:val="20"/>
                <w:szCs w:val="20"/>
              </w:rPr>
              <w:t>BIENES Y EXISTENCIAS</w:t>
            </w:r>
            <w:bookmarkStart w:id="1" w:name="_GoBack"/>
            <w:bookmarkEnd w:id="1"/>
          </w:p>
        </w:tc>
      </w:tr>
    </w:tbl>
    <w:p w:rsidR="00DC1FF6" w:rsidRDefault="00DC1FF6" w:rsidP="00DC1FF6">
      <w:pPr>
        <w:spacing w:line="276" w:lineRule="auto"/>
        <w:ind w:right="79"/>
        <w:jc w:val="both"/>
        <w:rPr>
          <w:rFonts w:ascii="Cambria" w:eastAsia="Calibri" w:hAnsi="Cambria"/>
          <w:sz w:val="22"/>
          <w:szCs w:val="22"/>
        </w:rPr>
      </w:pPr>
    </w:p>
    <w:p w:rsidR="00D83E1A" w:rsidRPr="003A613E" w:rsidRDefault="00D83E1A" w:rsidP="00DC1FF6">
      <w:pPr>
        <w:spacing w:line="276" w:lineRule="auto"/>
        <w:ind w:right="79"/>
        <w:jc w:val="both"/>
        <w:rPr>
          <w:rFonts w:ascii="Cambria" w:eastAsia="Calibri"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4244"/>
      </w:tblGrid>
      <w:tr w:rsidR="00FE0D66" w:rsidRPr="003A613E" w:rsidTr="00450B1D">
        <w:tc>
          <w:tcPr>
            <w:tcW w:w="8488" w:type="dxa"/>
            <w:gridSpan w:val="2"/>
            <w:shd w:val="clear" w:color="auto" w:fill="auto"/>
          </w:tcPr>
          <w:p w:rsidR="00FE0D66" w:rsidRPr="003A613E" w:rsidRDefault="00107731" w:rsidP="00450B1D">
            <w:pPr>
              <w:spacing w:line="360" w:lineRule="auto"/>
              <w:ind w:right="81"/>
              <w:jc w:val="center"/>
              <w:rPr>
                <w:rFonts w:ascii="Cambria" w:eastAsia="Cambria" w:hAnsi="Cambria" w:cs="Cambria"/>
                <w:b/>
                <w:sz w:val="20"/>
                <w:szCs w:val="20"/>
              </w:rPr>
            </w:pPr>
            <w:r w:rsidRPr="003A613E">
              <w:rPr>
                <w:rFonts w:ascii="Cambria" w:eastAsia="Calibri" w:hAnsi="Cambria"/>
                <w:b/>
                <w:sz w:val="20"/>
                <w:szCs w:val="20"/>
                <w:u w:val="single"/>
              </w:rPr>
              <w:t>RECIBE POR</w:t>
            </w:r>
            <w:r w:rsidRPr="00900DFA">
              <w:rPr>
                <w:rFonts w:ascii="Cambria" w:eastAsia="Calibri" w:hAnsi="Cambria"/>
                <w:b/>
                <w:sz w:val="20"/>
                <w:szCs w:val="20"/>
              </w:rPr>
              <w:t xml:space="preserve"> (</w:t>
            </w:r>
            <w:r w:rsidRPr="00900DFA">
              <w:rPr>
                <w:rFonts w:ascii="Cambria" w:eastAsia="Calibri" w:hAnsi="Cambria"/>
                <w:b/>
                <w:sz w:val="22"/>
                <w:szCs w:val="22"/>
              </w:rPr>
              <w:t>colocar – Razón social de la entidad como consta en el RUC</w:t>
            </w:r>
            <w:r w:rsidR="005E00B1">
              <w:rPr>
                <w:rFonts w:ascii="Cambria" w:eastAsia="Calibri" w:hAnsi="Cambria"/>
                <w:b/>
                <w:sz w:val="22"/>
                <w:szCs w:val="22"/>
              </w:rPr>
              <w:t xml:space="preserve"> y código de entidad</w:t>
            </w:r>
            <w:r w:rsidRPr="00900DFA">
              <w:rPr>
                <w:rFonts w:ascii="Cambria" w:eastAsia="Calibri" w:hAnsi="Cambria"/>
                <w:b/>
                <w:sz w:val="20"/>
                <w:szCs w:val="20"/>
              </w:rPr>
              <w:t>):</w:t>
            </w:r>
          </w:p>
        </w:tc>
      </w:tr>
      <w:tr w:rsidR="00FE0D66" w:rsidRPr="003A613E" w:rsidTr="00450B1D">
        <w:tc>
          <w:tcPr>
            <w:tcW w:w="4244" w:type="dxa"/>
            <w:shd w:val="clear" w:color="auto" w:fill="auto"/>
          </w:tcPr>
          <w:p w:rsidR="00FE0D66" w:rsidRPr="003A613E" w:rsidRDefault="00FE0D66" w:rsidP="00450B1D">
            <w:pPr>
              <w:spacing w:line="276" w:lineRule="auto"/>
              <w:ind w:right="79"/>
              <w:jc w:val="both"/>
              <w:rPr>
                <w:rFonts w:ascii="Cambria" w:eastAsia="Calibri" w:hAnsi="Cambria"/>
                <w:sz w:val="22"/>
                <w:szCs w:val="22"/>
              </w:rPr>
            </w:pPr>
          </w:p>
          <w:p w:rsidR="00FE0D66" w:rsidRPr="003A613E" w:rsidRDefault="00FE0D66" w:rsidP="00450B1D">
            <w:pPr>
              <w:spacing w:line="276" w:lineRule="auto"/>
              <w:ind w:right="79"/>
              <w:jc w:val="both"/>
              <w:rPr>
                <w:rFonts w:ascii="Cambria" w:eastAsia="Calibri" w:hAnsi="Cambria"/>
                <w:sz w:val="22"/>
                <w:szCs w:val="22"/>
              </w:rPr>
            </w:pPr>
          </w:p>
          <w:p w:rsidR="00CF0A6D" w:rsidRPr="003A613E" w:rsidRDefault="00CF0A6D" w:rsidP="00450B1D">
            <w:pPr>
              <w:spacing w:line="276" w:lineRule="auto"/>
              <w:ind w:right="79"/>
              <w:jc w:val="both"/>
              <w:rPr>
                <w:rFonts w:ascii="Cambria" w:eastAsia="Calibri" w:hAnsi="Cambria"/>
                <w:sz w:val="22"/>
                <w:szCs w:val="22"/>
              </w:rPr>
            </w:pPr>
          </w:p>
          <w:p w:rsidR="00FE0D66" w:rsidRPr="003A613E" w:rsidRDefault="00FE0D66" w:rsidP="00450B1D">
            <w:pPr>
              <w:spacing w:line="276" w:lineRule="auto"/>
              <w:ind w:right="79"/>
              <w:jc w:val="both"/>
              <w:rPr>
                <w:rFonts w:ascii="Cambria" w:eastAsia="Calibri" w:hAnsi="Cambria"/>
                <w:sz w:val="22"/>
                <w:szCs w:val="22"/>
              </w:rPr>
            </w:pPr>
          </w:p>
        </w:tc>
        <w:tc>
          <w:tcPr>
            <w:tcW w:w="4244" w:type="dxa"/>
            <w:shd w:val="clear" w:color="auto" w:fill="auto"/>
          </w:tcPr>
          <w:p w:rsidR="00FE0D66" w:rsidRPr="003A613E" w:rsidRDefault="00FE0D66" w:rsidP="00450B1D">
            <w:pPr>
              <w:spacing w:line="276" w:lineRule="auto"/>
              <w:ind w:right="79"/>
              <w:jc w:val="both"/>
              <w:rPr>
                <w:rFonts w:ascii="Cambria" w:eastAsia="Calibri" w:hAnsi="Cambria"/>
                <w:sz w:val="22"/>
                <w:szCs w:val="22"/>
              </w:rPr>
            </w:pPr>
          </w:p>
        </w:tc>
      </w:tr>
      <w:tr w:rsidR="00FE0D66" w:rsidRPr="003A613E" w:rsidTr="00450B1D">
        <w:tc>
          <w:tcPr>
            <w:tcW w:w="4244" w:type="dxa"/>
            <w:shd w:val="clear" w:color="auto" w:fill="auto"/>
          </w:tcPr>
          <w:p w:rsidR="00FE0D66" w:rsidRPr="00107731" w:rsidRDefault="00236A2B" w:rsidP="00450B1D">
            <w:pPr>
              <w:spacing w:line="276" w:lineRule="auto"/>
              <w:ind w:right="79"/>
              <w:jc w:val="both"/>
              <w:rPr>
                <w:rFonts w:ascii="Cambria" w:eastAsia="Calibri" w:hAnsi="Cambria"/>
                <w:sz w:val="22"/>
                <w:szCs w:val="22"/>
              </w:rPr>
            </w:pPr>
            <w:r w:rsidRPr="00107731">
              <w:rPr>
                <w:rFonts w:ascii="Cambria" w:eastAsia="Cambria" w:hAnsi="Cambria" w:cs="Cambria"/>
                <w:b/>
                <w:color w:val="000000"/>
                <w:sz w:val="22"/>
                <w:szCs w:val="22"/>
                <w:lang w:eastAsia="es-EC"/>
              </w:rPr>
              <w:t>colocar el nombre de la máxima autoridad o su delegado</w:t>
            </w:r>
          </w:p>
        </w:tc>
        <w:tc>
          <w:tcPr>
            <w:tcW w:w="4244" w:type="dxa"/>
            <w:shd w:val="clear" w:color="auto" w:fill="auto"/>
          </w:tcPr>
          <w:p w:rsidR="00FE0D66" w:rsidRPr="00107731" w:rsidRDefault="00FE0D66" w:rsidP="00450B1D">
            <w:pPr>
              <w:spacing w:line="276" w:lineRule="auto"/>
              <w:ind w:right="79"/>
              <w:jc w:val="both"/>
              <w:rPr>
                <w:rFonts w:ascii="Cambria" w:eastAsia="Calibri" w:hAnsi="Cambria"/>
                <w:sz w:val="22"/>
                <w:szCs w:val="22"/>
              </w:rPr>
            </w:pPr>
            <w:r w:rsidRPr="00107731">
              <w:rPr>
                <w:rFonts w:ascii="Cambria" w:eastAsia="Calibri" w:hAnsi="Cambria"/>
                <w:sz w:val="20"/>
                <w:szCs w:val="20"/>
              </w:rPr>
              <w:t>(</w:t>
            </w:r>
            <w:r w:rsidR="00236A2B" w:rsidRPr="00107731">
              <w:rPr>
                <w:rFonts w:ascii="Cambria" w:eastAsia="Cambria" w:hAnsi="Cambria" w:cs="Cambria"/>
                <w:b/>
                <w:color w:val="000000"/>
                <w:sz w:val="22"/>
                <w:szCs w:val="22"/>
                <w:lang w:eastAsia="es-EC"/>
              </w:rPr>
              <w:t>colocar el nombre del Coordinador</w:t>
            </w:r>
            <w:r w:rsidR="00661B85" w:rsidRPr="00107731">
              <w:rPr>
                <w:rFonts w:ascii="Cambria" w:eastAsia="Cambria" w:hAnsi="Cambria" w:cs="Cambria"/>
                <w:b/>
                <w:color w:val="000000"/>
                <w:sz w:val="22"/>
                <w:szCs w:val="22"/>
                <w:lang w:eastAsia="es-EC"/>
              </w:rPr>
              <w:t xml:space="preserve"> Administrativo Financiero</w:t>
            </w:r>
            <w:r w:rsidR="00236A2B" w:rsidRPr="00107731">
              <w:rPr>
                <w:rFonts w:ascii="Cambria" w:eastAsia="Cambria" w:hAnsi="Cambria" w:cs="Cambria"/>
                <w:b/>
                <w:color w:val="000000"/>
                <w:sz w:val="22"/>
                <w:szCs w:val="22"/>
                <w:lang w:eastAsia="es-EC"/>
              </w:rPr>
              <w:t>/ Director Administrativo Financiero o quien haga de sus veces</w:t>
            </w:r>
            <w:r w:rsidRPr="00107731">
              <w:rPr>
                <w:rFonts w:ascii="Cambria" w:eastAsia="Calibri" w:hAnsi="Cambria"/>
                <w:sz w:val="20"/>
                <w:szCs w:val="20"/>
              </w:rPr>
              <w:t>)</w:t>
            </w:r>
          </w:p>
        </w:tc>
      </w:tr>
      <w:tr w:rsidR="00236A2B" w:rsidRPr="003A613E" w:rsidTr="00450B1D">
        <w:tc>
          <w:tcPr>
            <w:tcW w:w="4244" w:type="dxa"/>
            <w:shd w:val="clear" w:color="auto" w:fill="auto"/>
          </w:tcPr>
          <w:p w:rsidR="00236A2B" w:rsidRPr="00107731" w:rsidRDefault="00236A2B" w:rsidP="00450B1D">
            <w:pPr>
              <w:spacing w:line="276" w:lineRule="auto"/>
              <w:ind w:right="79"/>
              <w:jc w:val="both"/>
              <w:rPr>
                <w:rFonts w:ascii="Cambria" w:eastAsia="Calibri" w:hAnsi="Cambria"/>
                <w:b/>
                <w:sz w:val="20"/>
                <w:szCs w:val="20"/>
              </w:rPr>
            </w:pPr>
            <w:r w:rsidRPr="00107731">
              <w:rPr>
                <w:rFonts w:ascii="Cambria" w:eastAsia="Calibri" w:hAnsi="Cambria"/>
                <w:b/>
                <w:sz w:val="20"/>
                <w:szCs w:val="20"/>
              </w:rPr>
              <w:t>C.I.</w:t>
            </w:r>
          </w:p>
        </w:tc>
        <w:tc>
          <w:tcPr>
            <w:tcW w:w="4244" w:type="dxa"/>
            <w:shd w:val="clear" w:color="auto" w:fill="auto"/>
          </w:tcPr>
          <w:p w:rsidR="00236A2B" w:rsidRPr="00107731" w:rsidRDefault="00236A2B" w:rsidP="00450B1D">
            <w:pPr>
              <w:spacing w:line="276" w:lineRule="auto"/>
              <w:ind w:right="79"/>
              <w:jc w:val="both"/>
              <w:rPr>
                <w:rFonts w:ascii="Cambria" w:eastAsia="Calibri" w:hAnsi="Cambria"/>
                <w:sz w:val="20"/>
                <w:szCs w:val="20"/>
              </w:rPr>
            </w:pPr>
            <w:r w:rsidRPr="00107731">
              <w:rPr>
                <w:rFonts w:ascii="Cambria" w:eastAsia="Calibri" w:hAnsi="Cambria"/>
                <w:b/>
                <w:sz w:val="20"/>
                <w:szCs w:val="20"/>
              </w:rPr>
              <w:t>C.I.</w:t>
            </w:r>
          </w:p>
        </w:tc>
      </w:tr>
      <w:tr w:rsidR="00FE0D66" w:rsidRPr="003A613E" w:rsidTr="00450B1D">
        <w:tc>
          <w:tcPr>
            <w:tcW w:w="4244" w:type="dxa"/>
            <w:shd w:val="clear" w:color="auto" w:fill="auto"/>
          </w:tcPr>
          <w:p w:rsidR="00FE0D66" w:rsidRPr="00107731" w:rsidRDefault="00FE0D66" w:rsidP="00450B1D">
            <w:pPr>
              <w:spacing w:line="360" w:lineRule="auto"/>
              <w:ind w:right="81"/>
              <w:rPr>
                <w:rFonts w:ascii="Cambria" w:eastAsia="Cambria" w:hAnsi="Cambria" w:cs="Cambria"/>
                <w:b/>
                <w:color w:val="000000"/>
                <w:sz w:val="22"/>
                <w:szCs w:val="22"/>
                <w:lang w:eastAsia="es-EC"/>
              </w:rPr>
            </w:pPr>
            <w:r w:rsidRPr="00107731">
              <w:rPr>
                <w:rFonts w:ascii="Cambria" w:eastAsia="Cambria" w:hAnsi="Cambria" w:cs="Cambria"/>
                <w:b/>
                <w:color w:val="000000"/>
                <w:sz w:val="22"/>
                <w:szCs w:val="22"/>
                <w:lang w:eastAsia="es-EC"/>
              </w:rPr>
              <w:t>(colocar el cargo de la</w:t>
            </w:r>
          </w:p>
          <w:p w:rsidR="00FE0D66" w:rsidRPr="00107731" w:rsidRDefault="00FE0D66" w:rsidP="00450B1D">
            <w:pPr>
              <w:spacing w:line="276" w:lineRule="auto"/>
              <w:ind w:right="79"/>
              <w:rPr>
                <w:rFonts w:ascii="Cambria" w:eastAsia="Calibri" w:hAnsi="Cambria"/>
                <w:sz w:val="22"/>
                <w:szCs w:val="22"/>
              </w:rPr>
            </w:pPr>
            <w:r w:rsidRPr="00107731">
              <w:rPr>
                <w:rFonts w:ascii="Cambria" w:eastAsia="Cambria" w:hAnsi="Cambria" w:cs="Cambria"/>
                <w:b/>
                <w:color w:val="000000"/>
                <w:sz w:val="22"/>
                <w:szCs w:val="22"/>
                <w:lang w:eastAsia="es-EC"/>
              </w:rPr>
              <w:t>máxima autoridad o su delegado</w:t>
            </w:r>
            <w:r w:rsidR="00107731" w:rsidRPr="00107731">
              <w:rPr>
                <w:rFonts w:ascii="Cambria" w:eastAsia="Cambria" w:hAnsi="Cambria" w:cs="Cambria"/>
                <w:b/>
                <w:color w:val="000000"/>
                <w:sz w:val="22"/>
                <w:szCs w:val="22"/>
                <w:lang w:eastAsia="es-EC"/>
              </w:rPr>
              <w:t xml:space="preserve">) </w:t>
            </w:r>
            <w:r w:rsidR="00107731" w:rsidRPr="00107731">
              <w:rPr>
                <w:rFonts w:ascii="Cambria" w:eastAsia="Cambria" w:hAnsi="Cambria" w:cs="Cambria"/>
                <w:color w:val="000000"/>
                <w:sz w:val="22"/>
                <w:szCs w:val="22"/>
                <w:lang w:eastAsia="es-EC"/>
              </w:rPr>
              <w:t>y designado mediante (</w:t>
            </w:r>
            <w:r w:rsidR="00107731" w:rsidRPr="00107731">
              <w:rPr>
                <w:rFonts w:ascii="Cambria" w:eastAsia="Cambria" w:hAnsi="Cambria" w:cs="Cambria"/>
                <w:b/>
                <w:color w:val="000000"/>
                <w:sz w:val="22"/>
                <w:szCs w:val="22"/>
                <w:lang w:eastAsia="es-EC"/>
              </w:rPr>
              <w:t xml:space="preserve">colocar el </w:t>
            </w:r>
            <w:r w:rsidR="00107731" w:rsidRPr="00107731">
              <w:rPr>
                <w:rFonts w:ascii="Cambria" w:eastAsia="Cambria" w:hAnsi="Cambria" w:cs="Cambria"/>
                <w:b/>
                <w:color w:val="000000"/>
                <w:sz w:val="22"/>
                <w:szCs w:val="22"/>
                <w:lang w:eastAsia="es-EC"/>
              </w:rPr>
              <w:lastRenderedPageBreak/>
              <w:t>documento con el cual se le designada como máxima autoridad o su delegado)</w:t>
            </w:r>
          </w:p>
        </w:tc>
        <w:tc>
          <w:tcPr>
            <w:tcW w:w="4244" w:type="dxa"/>
            <w:shd w:val="clear" w:color="auto" w:fill="auto"/>
          </w:tcPr>
          <w:p w:rsidR="00FE0D66" w:rsidRPr="00107731" w:rsidRDefault="00FE0D66" w:rsidP="00450B1D">
            <w:pPr>
              <w:spacing w:line="276" w:lineRule="auto"/>
              <w:ind w:right="79"/>
              <w:jc w:val="both"/>
              <w:rPr>
                <w:rFonts w:ascii="Cambria" w:eastAsia="Calibri" w:hAnsi="Cambria"/>
                <w:sz w:val="22"/>
                <w:szCs w:val="22"/>
              </w:rPr>
            </w:pPr>
            <w:r w:rsidRPr="00107731">
              <w:rPr>
                <w:rFonts w:ascii="Cambria" w:eastAsia="Cambria" w:hAnsi="Cambria" w:cs="Cambria"/>
                <w:b/>
                <w:color w:val="000000"/>
                <w:sz w:val="22"/>
                <w:szCs w:val="22"/>
                <w:lang w:eastAsia="es-EC"/>
              </w:rPr>
              <w:lastRenderedPageBreak/>
              <w:t>(</w:t>
            </w:r>
            <w:r w:rsidR="00236A2B" w:rsidRPr="00107731">
              <w:rPr>
                <w:rFonts w:ascii="Cambria" w:eastAsia="Cambria" w:hAnsi="Cambria" w:cs="Cambria"/>
                <w:b/>
                <w:color w:val="000000"/>
                <w:sz w:val="22"/>
                <w:szCs w:val="22"/>
                <w:lang w:eastAsia="es-EC"/>
              </w:rPr>
              <w:t>colocar el cargo del Coordinador/ Director Administrativo Financiero o quien haga de sus veces</w:t>
            </w:r>
            <w:r w:rsidR="00107731" w:rsidRPr="00107731">
              <w:rPr>
                <w:rFonts w:ascii="Cambria" w:eastAsia="Cambria" w:hAnsi="Cambria" w:cs="Cambria"/>
                <w:color w:val="000000"/>
                <w:sz w:val="22"/>
                <w:szCs w:val="22"/>
                <w:lang w:eastAsia="es-EC"/>
              </w:rPr>
              <w:t xml:space="preserve">) y designado </w:t>
            </w:r>
            <w:r w:rsidR="00107731" w:rsidRPr="00107731">
              <w:rPr>
                <w:rFonts w:ascii="Cambria" w:eastAsia="Cambria" w:hAnsi="Cambria" w:cs="Cambria"/>
                <w:color w:val="000000"/>
                <w:sz w:val="22"/>
                <w:szCs w:val="22"/>
                <w:lang w:eastAsia="es-EC"/>
              </w:rPr>
              <w:lastRenderedPageBreak/>
              <w:t>mediante (</w:t>
            </w:r>
            <w:r w:rsidR="00107731" w:rsidRPr="00107731">
              <w:rPr>
                <w:rFonts w:ascii="Cambria" w:eastAsia="Cambria" w:hAnsi="Cambria" w:cs="Cambria"/>
                <w:b/>
                <w:color w:val="000000"/>
                <w:sz w:val="22"/>
                <w:szCs w:val="22"/>
                <w:lang w:eastAsia="es-EC"/>
              </w:rPr>
              <w:t>colocar el documento con el cual se le designada como Coordinador Administrativo Financiero/ Director Administrativo Financiero o quien haga de sus veces)</w:t>
            </w:r>
          </w:p>
        </w:tc>
      </w:tr>
      <w:tr w:rsidR="00FE0D66" w:rsidRPr="003A613E" w:rsidTr="00450B1D">
        <w:tc>
          <w:tcPr>
            <w:tcW w:w="4244" w:type="dxa"/>
            <w:shd w:val="clear" w:color="auto" w:fill="auto"/>
          </w:tcPr>
          <w:p w:rsidR="00FE0D66" w:rsidRPr="00107731" w:rsidRDefault="00FE0D66" w:rsidP="00450B1D">
            <w:pPr>
              <w:spacing w:line="276" w:lineRule="auto"/>
              <w:ind w:right="79"/>
              <w:jc w:val="both"/>
              <w:rPr>
                <w:rFonts w:ascii="Cambria" w:eastAsia="Calibri" w:hAnsi="Cambria"/>
                <w:sz w:val="22"/>
                <w:szCs w:val="22"/>
              </w:rPr>
            </w:pPr>
          </w:p>
          <w:p w:rsidR="008B1212" w:rsidRPr="00107731" w:rsidRDefault="008B1212" w:rsidP="00450B1D">
            <w:pPr>
              <w:spacing w:line="276" w:lineRule="auto"/>
              <w:ind w:right="79"/>
              <w:jc w:val="both"/>
              <w:rPr>
                <w:rFonts w:ascii="Cambria" w:eastAsia="Calibri" w:hAnsi="Cambria"/>
                <w:sz w:val="22"/>
                <w:szCs w:val="22"/>
              </w:rPr>
            </w:pPr>
          </w:p>
          <w:p w:rsidR="00FE0D66" w:rsidRPr="00107731" w:rsidRDefault="00FE0D66" w:rsidP="00450B1D">
            <w:pPr>
              <w:spacing w:line="276" w:lineRule="auto"/>
              <w:ind w:right="79"/>
              <w:jc w:val="both"/>
              <w:rPr>
                <w:rFonts w:ascii="Cambria" w:eastAsia="Calibri" w:hAnsi="Cambria"/>
                <w:sz w:val="22"/>
                <w:szCs w:val="22"/>
              </w:rPr>
            </w:pPr>
          </w:p>
          <w:p w:rsidR="00FE0D66" w:rsidRPr="00107731" w:rsidRDefault="00FE0D66" w:rsidP="00450B1D">
            <w:pPr>
              <w:spacing w:line="276" w:lineRule="auto"/>
              <w:ind w:right="79"/>
              <w:jc w:val="both"/>
              <w:rPr>
                <w:rFonts w:ascii="Cambria" w:eastAsia="Calibri" w:hAnsi="Cambria"/>
                <w:sz w:val="22"/>
                <w:szCs w:val="22"/>
              </w:rPr>
            </w:pPr>
          </w:p>
        </w:tc>
        <w:tc>
          <w:tcPr>
            <w:tcW w:w="4244" w:type="dxa"/>
            <w:shd w:val="clear" w:color="auto" w:fill="auto"/>
          </w:tcPr>
          <w:p w:rsidR="00FE0D66" w:rsidRPr="00107731" w:rsidRDefault="00FE0D66" w:rsidP="00450B1D">
            <w:pPr>
              <w:spacing w:line="276" w:lineRule="auto"/>
              <w:ind w:right="79"/>
              <w:jc w:val="both"/>
              <w:rPr>
                <w:rFonts w:ascii="Cambria" w:eastAsia="Calibri" w:hAnsi="Cambria"/>
                <w:sz w:val="22"/>
                <w:szCs w:val="22"/>
              </w:rPr>
            </w:pPr>
          </w:p>
        </w:tc>
      </w:tr>
      <w:tr w:rsidR="00FE0D66" w:rsidRPr="003A613E" w:rsidTr="00450B1D">
        <w:tc>
          <w:tcPr>
            <w:tcW w:w="4244" w:type="dxa"/>
            <w:shd w:val="clear" w:color="auto" w:fill="auto"/>
          </w:tcPr>
          <w:p w:rsidR="00FE0D66" w:rsidRPr="00107731" w:rsidRDefault="00236A2B" w:rsidP="00661B85">
            <w:pPr>
              <w:spacing w:line="276" w:lineRule="auto"/>
              <w:ind w:right="79"/>
              <w:jc w:val="both"/>
              <w:rPr>
                <w:rFonts w:ascii="Cambria" w:eastAsia="Calibri" w:hAnsi="Cambria"/>
                <w:sz w:val="22"/>
                <w:szCs w:val="22"/>
              </w:rPr>
            </w:pPr>
            <w:r w:rsidRPr="00107731">
              <w:rPr>
                <w:rFonts w:ascii="Cambria" w:eastAsia="Cambria" w:hAnsi="Cambria" w:cs="Cambria"/>
                <w:b/>
                <w:color w:val="000000"/>
                <w:sz w:val="22"/>
                <w:szCs w:val="22"/>
                <w:lang w:eastAsia="es-EC"/>
              </w:rPr>
              <w:t xml:space="preserve">(colocar el nombre del </w:t>
            </w:r>
            <w:r w:rsidR="00661B85" w:rsidRPr="00107731">
              <w:rPr>
                <w:rFonts w:ascii="Cambria" w:eastAsia="Cambria" w:hAnsi="Cambria" w:cs="Cambria"/>
                <w:b/>
                <w:color w:val="000000"/>
                <w:sz w:val="22"/>
                <w:szCs w:val="22"/>
                <w:lang w:eastAsia="es-EC"/>
              </w:rPr>
              <w:t>Director Financiero</w:t>
            </w:r>
            <w:r w:rsidRPr="00107731">
              <w:rPr>
                <w:rFonts w:ascii="Cambria" w:eastAsia="Cambria" w:hAnsi="Cambria" w:cs="Cambria"/>
                <w:b/>
                <w:color w:val="000000"/>
                <w:sz w:val="22"/>
                <w:szCs w:val="22"/>
                <w:lang w:eastAsia="es-EC"/>
              </w:rPr>
              <w:t xml:space="preserve"> o quien haga sus veces)</w:t>
            </w:r>
          </w:p>
        </w:tc>
        <w:tc>
          <w:tcPr>
            <w:tcW w:w="4244" w:type="dxa"/>
            <w:shd w:val="clear" w:color="auto" w:fill="auto"/>
          </w:tcPr>
          <w:p w:rsidR="00FE0D66" w:rsidRPr="00107731" w:rsidRDefault="00FE0D66" w:rsidP="00450B1D">
            <w:pPr>
              <w:spacing w:line="276" w:lineRule="auto"/>
              <w:ind w:right="79"/>
              <w:jc w:val="both"/>
              <w:rPr>
                <w:rFonts w:ascii="Cambria" w:eastAsia="Calibri" w:hAnsi="Cambria"/>
                <w:sz w:val="22"/>
                <w:szCs w:val="22"/>
              </w:rPr>
            </w:pPr>
            <w:r w:rsidRPr="00107731">
              <w:rPr>
                <w:rFonts w:ascii="Cambria" w:eastAsia="Calibri" w:hAnsi="Cambria"/>
                <w:sz w:val="20"/>
                <w:szCs w:val="20"/>
              </w:rPr>
              <w:t>(</w:t>
            </w:r>
            <w:r w:rsidR="00236A2B" w:rsidRPr="00107731">
              <w:rPr>
                <w:rFonts w:ascii="Cambria" w:eastAsia="Cambria" w:hAnsi="Cambria" w:cs="Cambria"/>
                <w:b/>
                <w:color w:val="000000"/>
                <w:sz w:val="22"/>
                <w:szCs w:val="22"/>
                <w:lang w:eastAsia="es-EC"/>
              </w:rPr>
              <w:t>colocar el nombre del Guardalmacén de Activos Fijos o quien haga de sus veces</w:t>
            </w:r>
            <w:r w:rsidRPr="00107731">
              <w:rPr>
                <w:rFonts w:ascii="Cambria" w:eastAsia="Calibri" w:hAnsi="Cambria"/>
                <w:sz w:val="20"/>
                <w:szCs w:val="20"/>
              </w:rPr>
              <w:t>)</w:t>
            </w:r>
          </w:p>
        </w:tc>
      </w:tr>
      <w:tr w:rsidR="00236A2B" w:rsidRPr="003A613E" w:rsidTr="00450B1D">
        <w:tc>
          <w:tcPr>
            <w:tcW w:w="4244" w:type="dxa"/>
            <w:shd w:val="clear" w:color="auto" w:fill="auto"/>
          </w:tcPr>
          <w:p w:rsidR="00236A2B" w:rsidRPr="003A613E" w:rsidRDefault="00236A2B" w:rsidP="00450B1D">
            <w:pPr>
              <w:spacing w:line="276" w:lineRule="auto"/>
              <w:ind w:right="79"/>
              <w:jc w:val="both"/>
              <w:rPr>
                <w:rFonts w:ascii="Cambria" w:eastAsia="Cambria" w:hAnsi="Cambria" w:cs="Cambria"/>
                <w:b/>
                <w:color w:val="000000"/>
                <w:sz w:val="22"/>
                <w:szCs w:val="22"/>
                <w:u w:val="single"/>
                <w:lang w:eastAsia="es-EC"/>
              </w:rPr>
            </w:pPr>
            <w:r w:rsidRPr="003A613E">
              <w:rPr>
                <w:rFonts w:ascii="Cambria" w:eastAsia="Calibri" w:hAnsi="Cambria"/>
                <w:b/>
                <w:sz w:val="20"/>
                <w:szCs w:val="20"/>
              </w:rPr>
              <w:t>C.I.</w:t>
            </w:r>
          </w:p>
        </w:tc>
        <w:tc>
          <w:tcPr>
            <w:tcW w:w="4244" w:type="dxa"/>
            <w:shd w:val="clear" w:color="auto" w:fill="auto"/>
          </w:tcPr>
          <w:p w:rsidR="00236A2B" w:rsidRPr="003A613E" w:rsidRDefault="00236A2B" w:rsidP="00450B1D">
            <w:pPr>
              <w:spacing w:line="360" w:lineRule="auto"/>
              <w:ind w:right="81"/>
              <w:rPr>
                <w:rFonts w:ascii="Cambria" w:eastAsia="Cambria" w:hAnsi="Cambria" w:cs="Cambria"/>
                <w:b/>
                <w:color w:val="000000"/>
                <w:sz w:val="22"/>
                <w:szCs w:val="22"/>
                <w:u w:val="single"/>
                <w:lang w:eastAsia="es-EC"/>
              </w:rPr>
            </w:pPr>
            <w:r w:rsidRPr="003A613E">
              <w:rPr>
                <w:rFonts w:ascii="Cambria" w:eastAsia="Calibri" w:hAnsi="Cambria"/>
                <w:b/>
                <w:sz w:val="20"/>
                <w:szCs w:val="20"/>
              </w:rPr>
              <w:t>C.I.</w:t>
            </w:r>
          </w:p>
        </w:tc>
      </w:tr>
      <w:tr w:rsidR="00FE0D66" w:rsidRPr="00450B1D" w:rsidTr="00450B1D">
        <w:tc>
          <w:tcPr>
            <w:tcW w:w="4244" w:type="dxa"/>
            <w:shd w:val="clear" w:color="auto" w:fill="auto"/>
          </w:tcPr>
          <w:p w:rsidR="00FE0D66" w:rsidRPr="003A613E" w:rsidRDefault="00FE0D66" w:rsidP="00450B1D">
            <w:pPr>
              <w:spacing w:line="276" w:lineRule="auto"/>
              <w:ind w:right="79"/>
              <w:jc w:val="both"/>
              <w:rPr>
                <w:rFonts w:ascii="Cambria" w:eastAsia="Calibri" w:hAnsi="Cambria"/>
                <w:sz w:val="22"/>
                <w:szCs w:val="22"/>
              </w:rPr>
            </w:pPr>
            <w:r w:rsidRPr="003A613E">
              <w:rPr>
                <w:rFonts w:ascii="Cambria" w:eastAsia="Cambria" w:hAnsi="Cambria" w:cs="Cambria"/>
                <w:b/>
                <w:color w:val="000000"/>
                <w:sz w:val="22"/>
                <w:szCs w:val="22"/>
                <w:u w:val="single"/>
                <w:lang w:eastAsia="es-EC"/>
              </w:rPr>
              <w:t>(</w:t>
            </w:r>
            <w:r w:rsidRPr="00107731">
              <w:rPr>
                <w:rFonts w:ascii="Cambria" w:eastAsia="Cambria" w:hAnsi="Cambria" w:cs="Cambria"/>
                <w:b/>
                <w:color w:val="000000"/>
                <w:sz w:val="22"/>
                <w:szCs w:val="22"/>
                <w:lang w:eastAsia="es-EC"/>
              </w:rPr>
              <w:t xml:space="preserve">colocar el cargo </w:t>
            </w:r>
            <w:r w:rsidR="00236A2B" w:rsidRPr="00107731">
              <w:rPr>
                <w:rFonts w:ascii="Cambria" w:eastAsia="Cambria" w:hAnsi="Cambria" w:cs="Cambria"/>
                <w:b/>
                <w:color w:val="000000"/>
                <w:sz w:val="22"/>
                <w:szCs w:val="22"/>
                <w:lang w:eastAsia="es-EC"/>
              </w:rPr>
              <w:t>del titular de pago o quien haga sus veces</w:t>
            </w:r>
            <w:r w:rsidRPr="00107731">
              <w:rPr>
                <w:rFonts w:ascii="Cambria" w:eastAsia="Cambria" w:hAnsi="Cambria" w:cs="Cambria"/>
                <w:b/>
                <w:color w:val="000000"/>
                <w:sz w:val="22"/>
                <w:szCs w:val="22"/>
                <w:lang w:eastAsia="es-EC"/>
              </w:rPr>
              <w:t>)</w:t>
            </w:r>
            <w:r w:rsidR="00107731" w:rsidRPr="00107731">
              <w:rPr>
                <w:rFonts w:ascii="Cambria" w:eastAsia="Cambria" w:hAnsi="Cambria" w:cs="Cambria"/>
                <w:b/>
                <w:color w:val="000000"/>
                <w:sz w:val="22"/>
                <w:szCs w:val="22"/>
                <w:lang w:eastAsia="es-EC"/>
              </w:rPr>
              <w:t xml:space="preserve"> </w:t>
            </w:r>
            <w:r w:rsidR="00107731" w:rsidRPr="00107731">
              <w:rPr>
                <w:rFonts w:ascii="Cambria" w:eastAsia="Cambria" w:hAnsi="Cambria" w:cs="Cambria"/>
                <w:color w:val="000000"/>
                <w:sz w:val="22"/>
                <w:szCs w:val="22"/>
                <w:lang w:eastAsia="es-EC"/>
              </w:rPr>
              <w:t>y designado mediante (</w:t>
            </w:r>
            <w:r w:rsidR="00107731" w:rsidRPr="00107731">
              <w:rPr>
                <w:rFonts w:ascii="Cambria" w:eastAsia="Cambria" w:hAnsi="Cambria" w:cs="Cambria"/>
                <w:b/>
                <w:color w:val="000000"/>
                <w:sz w:val="22"/>
                <w:szCs w:val="22"/>
                <w:lang w:eastAsia="es-EC"/>
              </w:rPr>
              <w:t>colocar el documento</w:t>
            </w:r>
            <w:r w:rsidR="00107731" w:rsidRPr="00442AF0">
              <w:rPr>
                <w:rFonts w:ascii="Cambria" w:eastAsia="Cambria" w:hAnsi="Cambria" w:cs="Cambria"/>
                <w:b/>
                <w:color w:val="000000"/>
                <w:sz w:val="22"/>
                <w:szCs w:val="22"/>
                <w:lang w:eastAsia="es-EC"/>
              </w:rPr>
              <w:t xml:space="preserve"> con el cual se le designada como Director Financiero o quien haga sus veces)</w:t>
            </w:r>
          </w:p>
        </w:tc>
        <w:tc>
          <w:tcPr>
            <w:tcW w:w="4244" w:type="dxa"/>
            <w:shd w:val="clear" w:color="auto" w:fill="auto"/>
          </w:tcPr>
          <w:p w:rsidR="00FE0D66" w:rsidRPr="00107731" w:rsidRDefault="00FE0D66" w:rsidP="00450B1D">
            <w:pPr>
              <w:spacing w:line="360" w:lineRule="auto"/>
              <w:ind w:right="81"/>
              <w:rPr>
                <w:rFonts w:ascii="Cambria" w:eastAsia="Calibri" w:hAnsi="Cambria"/>
                <w:b/>
                <w:sz w:val="20"/>
                <w:szCs w:val="20"/>
              </w:rPr>
            </w:pPr>
            <w:r w:rsidRPr="00107731">
              <w:rPr>
                <w:rFonts w:ascii="Cambria" w:eastAsia="Cambria" w:hAnsi="Cambria" w:cs="Cambria"/>
                <w:b/>
                <w:color w:val="000000"/>
                <w:sz w:val="22"/>
                <w:szCs w:val="22"/>
                <w:lang w:eastAsia="es-EC"/>
              </w:rPr>
              <w:t>(colocar el cargo del Guardalmacén de Activos Fijos o su delegado</w:t>
            </w:r>
            <w:r w:rsidRPr="00107731">
              <w:rPr>
                <w:rFonts w:ascii="Cambria" w:eastAsia="Cambria" w:hAnsi="Cambria" w:cs="Cambria"/>
                <w:color w:val="000000"/>
                <w:sz w:val="22"/>
                <w:szCs w:val="22"/>
                <w:lang w:eastAsia="es-EC"/>
              </w:rPr>
              <w:t>)</w:t>
            </w:r>
            <w:r w:rsidR="00107731">
              <w:rPr>
                <w:rFonts w:ascii="Cambria" w:eastAsia="Cambria" w:hAnsi="Cambria" w:cs="Cambria"/>
                <w:color w:val="000000"/>
                <w:sz w:val="22"/>
                <w:szCs w:val="22"/>
                <w:lang w:eastAsia="es-EC"/>
              </w:rPr>
              <w:t xml:space="preserve"> </w:t>
            </w:r>
            <w:r w:rsidR="00107731" w:rsidRPr="00442AF0">
              <w:rPr>
                <w:rFonts w:ascii="Cambria" w:eastAsia="Cambria" w:hAnsi="Cambria" w:cs="Cambria"/>
                <w:color w:val="000000"/>
                <w:sz w:val="22"/>
                <w:szCs w:val="22"/>
                <w:lang w:eastAsia="es-EC"/>
              </w:rPr>
              <w:t>y designado mediante (</w:t>
            </w:r>
            <w:r w:rsidR="00107731" w:rsidRPr="00442AF0">
              <w:rPr>
                <w:rFonts w:ascii="Cambria" w:eastAsia="Cambria" w:hAnsi="Cambria" w:cs="Cambria"/>
                <w:b/>
                <w:color w:val="000000"/>
                <w:sz w:val="22"/>
                <w:szCs w:val="22"/>
                <w:lang w:eastAsia="es-EC"/>
              </w:rPr>
              <w:t>colocar el documento con el cual se le designada como Guardalmacén de Activos Fijos o quien haga de sus veces)</w:t>
            </w:r>
          </w:p>
        </w:tc>
      </w:tr>
    </w:tbl>
    <w:p w:rsidR="00346074" w:rsidRDefault="00346074" w:rsidP="00947DD1">
      <w:pPr>
        <w:spacing w:line="360" w:lineRule="auto"/>
        <w:ind w:left="4950" w:right="81" w:hanging="4950"/>
        <w:rPr>
          <w:rFonts w:ascii="Cambria" w:eastAsia="Cambria" w:hAnsi="Cambria" w:cs="Cambria"/>
          <w:b/>
          <w:color w:val="000000"/>
          <w:sz w:val="22"/>
          <w:szCs w:val="22"/>
          <w:u w:val="single"/>
          <w:lang w:eastAsia="es-EC"/>
        </w:rPr>
      </w:pPr>
    </w:p>
    <w:sectPr w:rsidR="00346074" w:rsidSect="00B84992">
      <w:headerReference w:type="default" r:id="rId7"/>
      <w:pgSz w:w="11900" w:h="16820"/>
      <w:pgMar w:top="221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BF6" w:rsidRDefault="00424BF6" w:rsidP="00B84992">
      <w:r>
        <w:separator/>
      </w:r>
    </w:p>
  </w:endnote>
  <w:endnote w:type="continuationSeparator" w:id="0">
    <w:p w:rsidR="00424BF6" w:rsidRDefault="00424BF6" w:rsidP="00B8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imbusSanL">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BF6" w:rsidRDefault="00424BF6" w:rsidP="00B84992">
      <w:r>
        <w:separator/>
      </w:r>
    </w:p>
  </w:footnote>
  <w:footnote w:type="continuationSeparator" w:id="0">
    <w:p w:rsidR="00424BF6" w:rsidRDefault="00424BF6" w:rsidP="00B8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92" w:rsidRDefault="003727E7" w:rsidP="00CA57FB">
    <w:pPr>
      <w:pStyle w:val="Encabezado"/>
      <w:tabs>
        <w:tab w:val="clear" w:pos="4419"/>
        <w:tab w:val="clear" w:pos="8838"/>
        <w:tab w:val="left" w:pos="3390"/>
      </w:tabs>
    </w:pPr>
    <w:r>
      <w:rPr>
        <w:noProof/>
        <w:lang w:eastAsia="es-EC"/>
      </w:rPr>
      <w:drawing>
        <wp:anchor distT="0" distB="0" distL="114300" distR="114300" simplePos="0" relativeHeight="251659264" behindDoc="1" locked="0" layoutInCell="1" allowOverlap="1" wp14:anchorId="7355BDC6" wp14:editId="3B5E58E1">
          <wp:simplePos x="0" y="0"/>
          <wp:positionH relativeFrom="column">
            <wp:posOffset>-1057275</wp:posOffset>
          </wp:positionH>
          <wp:positionV relativeFrom="paragraph">
            <wp:posOffset>-410210</wp:posOffset>
          </wp:positionV>
          <wp:extent cx="7561533" cy="10700522"/>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533" cy="10700522"/>
                  </a:xfrm>
                  <a:prstGeom prst="rect">
                    <a:avLst/>
                  </a:prstGeom>
                  <a:noFill/>
                  <a:ln>
                    <a:noFill/>
                  </a:ln>
                </pic:spPr>
              </pic:pic>
            </a:graphicData>
          </a:graphic>
          <wp14:sizeRelH relativeFrom="page">
            <wp14:pctWidth>0</wp14:pctWidth>
          </wp14:sizeRelH>
          <wp14:sizeRelV relativeFrom="page">
            <wp14:pctHeight>0</wp14:pctHeight>
          </wp14:sizeRelV>
        </wp:anchor>
      </w:drawing>
    </w:r>
    <w:r w:rsidR="00CA57F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FF5"/>
    <w:multiLevelType w:val="hybridMultilevel"/>
    <w:tmpl w:val="5DFC10D8"/>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 w15:restartNumberingAfterBreak="0">
    <w:nsid w:val="1B3F75B3"/>
    <w:multiLevelType w:val="hybridMultilevel"/>
    <w:tmpl w:val="2BB6683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94B4B53"/>
    <w:multiLevelType w:val="hybridMultilevel"/>
    <w:tmpl w:val="E8885C4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A296C80"/>
    <w:multiLevelType w:val="hybridMultilevel"/>
    <w:tmpl w:val="8916ADB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6E62062A"/>
    <w:multiLevelType w:val="hybridMultilevel"/>
    <w:tmpl w:val="9A4842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F9F015E"/>
    <w:multiLevelType w:val="hybridMultilevel"/>
    <w:tmpl w:val="4F1A00B8"/>
    <w:lvl w:ilvl="0" w:tplc="300A0015">
      <w:start w:val="1"/>
      <w:numFmt w:val="upp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92"/>
    <w:rsid w:val="0000576E"/>
    <w:rsid w:val="00031BD9"/>
    <w:rsid w:val="0003574A"/>
    <w:rsid w:val="000413B8"/>
    <w:rsid w:val="00046707"/>
    <w:rsid w:val="00050F05"/>
    <w:rsid w:val="00051798"/>
    <w:rsid w:val="00083B46"/>
    <w:rsid w:val="000B4BA9"/>
    <w:rsid w:val="00104FF9"/>
    <w:rsid w:val="00107731"/>
    <w:rsid w:val="0011668F"/>
    <w:rsid w:val="00116FB4"/>
    <w:rsid w:val="00140466"/>
    <w:rsid w:val="00141057"/>
    <w:rsid w:val="00144AE0"/>
    <w:rsid w:val="00181B07"/>
    <w:rsid w:val="001A49E0"/>
    <w:rsid w:val="001E0069"/>
    <w:rsid w:val="001E3FD8"/>
    <w:rsid w:val="00236A2B"/>
    <w:rsid w:val="00257496"/>
    <w:rsid w:val="0029600D"/>
    <w:rsid w:val="002A080C"/>
    <w:rsid w:val="002C3A07"/>
    <w:rsid w:val="002E430F"/>
    <w:rsid w:val="002F3C17"/>
    <w:rsid w:val="002F7B41"/>
    <w:rsid w:val="0034107A"/>
    <w:rsid w:val="00346074"/>
    <w:rsid w:val="003668A8"/>
    <w:rsid w:val="003727E7"/>
    <w:rsid w:val="00377D32"/>
    <w:rsid w:val="003A613E"/>
    <w:rsid w:val="003D192A"/>
    <w:rsid w:val="003D5D65"/>
    <w:rsid w:val="00400A52"/>
    <w:rsid w:val="0041584B"/>
    <w:rsid w:val="00424BF6"/>
    <w:rsid w:val="00431A49"/>
    <w:rsid w:val="00450B1D"/>
    <w:rsid w:val="00467458"/>
    <w:rsid w:val="0048561B"/>
    <w:rsid w:val="00487190"/>
    <w:rsid w:val="004A5143"/>
    <w:rsid w:val="004C1256"/>
    <w:rsid w:val="004C654D"/>
    <w:rsid w:val="004F0845"/>
    <w:rsid w:val="00504E7A"/>
    <w:rsid w:val="00592071"/>
    <w:rsid w:val="0059290C"/>
    <w:rsid w:val="005A057B"/>
    <w:rsid w:val="005C2248"/>
    <w:rsid w:val="005E00B1"/>
    <w:rsid w:val="00631CA5"/>
    <w:rsid w:val="00633DA6"/>
    <w:rsid w:val="00643CD5"/>
    <w:rsid w:val="00644A79"/>
    <w:rsid w:val="00661B85"/>
    <w:rsid w:val="006723D3"/>
    <w:rsid w:val="00693F57"/>
    <w:rsid w:val="006C1A52"/>
    <w:rsid w:val="006C4D44"/>
    <w:rsid w:val="0070671A"/>
    <w:rsid w:val="00711B98"/>
    <w:rsid w:val="00724B5D"/>
    <w:rsid w:val="00725B72"/>
    <w:rsid w:val="00763E21"/>
    <w:rsid w:val="00780098"/>
    <w:rsid w:val="007979A8"/>
    <w:rsid w:val="007A4DBA"/>
    <w:rsid w:val="007B2AC7"/>
    <w:rsid w:val="007E1FE2"/>
    <w:rsid w:val="008227F7"/>
    <w:rsid w:val="00822832"/>
    <w:rsid w:val="00861D03"/>
    <w:rsid w:val="00864331"/>
    <w:rsid w:val="00877C04"/>
    <w:rsid w:val="00884EE8"/>
    <w:rsid w:val="008A644F"/>
    <w:rsid w:val="008B09FC"/>
    <w:rsid w:val="008B1212"/>
    <w:rsid w:val="008F3E09"/>
    <w:rsid w:val="008F71D2"/>
    <w:rsid w:val="009123DA"/>
    <w:rsid w:val="00915BC0"/>
    <w:rsid w:val="00922E63"/>
    <w:rsid w:val="00946522"/>
    <w:rsid w:val="00947DD1"/>
    <w:rsid w:val="009547D2"/>
    <w:rsid w:val="0098185E"/>
    <w:rsid w:val="00991EC3"/>
    <w:rsid w:val="009952EC"/>
    <w:rsid w:val="009B51A2"/>
    <w:rsid w:val="009D1630"/>
    <w:rsid w:val="00A1482B"/>
    <w:rsid w:val="00A431CA"/>
    <w:rsid w:val="00A92AE5"/>
    <w:rsid w:val="00A937B2"/>
    <w:rsid w:val="00AB40A4"/>
    <w:rsid w:val="00AB64CE"/>
    <w:rsid w:val="00AF0D3E"/>
    <w:rsid w:val="00AF1BF7"/>
    <w:rsid w:val="00B4020C"/>
    <w:rsid w:val="00B66E77"/>
    <w:rsid w:val="00B84992"/>
    <w:rsid w:val="00B95592"/>
    <w:rsid w:val="00B96B15"/>
    <w:rsid w:val="00BA2DBE"/>
    <w:rsid w:val="00BC02E8"/>
    <w:rsid w:val="00BC3ED7"/>
    <w:rsid w:val="00BD4DBF"/>
    <w:rsid w:val="00BE52BB"/>
    <w:rsid w:val="00C00653"/>
    <w:rsid w:val="00C159B3"/>
    <w:rsid w:val="00C17D83"/>
    <w:rsid w:val="00C840CD"/>
    <w:rsid w:val="00C912EA"/>
    <w:rsid w:val="00CA3A1B"/>
    <w:rsid w:val="00CA57FB"/>
    <w:rsid w:val="00CC7639"/>
    <w:rsid w:val="00CD4BFD"/>
    <w:rsid w:val="00CF0A6D"/>
    <w:rsid w:val="00D723D7"/>
    <w:rsid w:val="00D838B3"/>
    <w:rsid w:val="00D83E1A"/>
    <w:rsid w:val="00D93C5F"/>
    <w:rsid w:val="00DC1FF6"/>
    <w:rsid w:val="00DC65AB"/>
    <w:rsid w:val="00DD446F"/>
    <w:rsid w:val="00DE116A"/>
    <w:rsid w:val="00E6263C"/>
    <w:rsid w:val="00E64E78"/>
    <w:rsid w:val="00EA0BD3"/>
    <w:rsid w:val="00EB625C"/>
    <w:rsid w:val="00ED5525"/>
    <w:rsid w:val="00EE6DF5"/>
    <w:rsid w:val="00F0298C"/>
    <w:rsid w:val="00F07F16"/>
    <w:rsid w:val="00F470AE"/>
    <w:rsid w:val="00F55B6D"/>
    <w:rsid w:val="00F81C7A"/>
    <w:rsid w:val="00F91818"/>
    <w:rsid w:val="00FA1A2F"/>
    <w:rsid w:val="00FB58C4"/>
    <w:rsid w:val="00FC5EAE"/>
    <w:rsid w:val="00FC6B1D"/>
    <w:rsid w:val="00FD601C"/>
    <w:rsid w:val="00FE0D66"/>
    <w:rsid w:val="00FE236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3C67E"/>
  <w15:chartTrackingRefBased/>
  <w15:docId w15:val="{569CD0D3-5981-42BC-BAA1-43765FCC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992"/>
    <w:pPr>
      <w:tabs>
        <w:tab w:val="center" w:pos="4419"/>
        <w:tab w:val="right" w:pos="8838"/>
      </w:tabs>
    </w:pPr>
  </w:style>
  <w:style w:type="character" w:customStyle="1" w:styleId="EncabezadoCar">
    <w:name w:val="Encabezado Car"/>
    <w:link w:val="Encabezado"/>
    <w:uiPriority w:val="99"/>
    <w:rsid w:val="00B84992"/>
    <w:rPr>
      <w:rFonts w:eastAsia="Times New Roman"/>
    </w:rPr>
  </w:style>
  <w:style w:type="paragraph" w:styleId="Piedepgina">
    <w:name w:val="footer"/>
    <w:basedOn w:val="Normal"/>
    <w:link w:val="PiedepginaCar"/>
    <w:uiPriority w:val="99"/>
    <w:unhideWhenUsed/>
    <w:rsid w:val="00B84992"/>
    <w:pPr>
      <w:tabs>
        <w:tab w:val="center" w:pos="4419"/>
        <w:tab w:val="right" w:pos="8838"/>
      </w:tabs>
    </w:pPr>
  </w:style>
  <w:style w:type="character" w:customStyle="1" w:styleId="PiedepginaCar">
    <w:name w:val="Pie de página Car"/>
    <w:link w:val="Piedepgina"/>
    <w:uiPriority w:val="99"/>
    <w:rsid w:val="00B84992"/>
    <w:rPr>
      <w:rFonts w:eastAsia="Times New Roman"/>
    </w:rPr>
  </w:style>
  <w:style w:type="paragraph" w:styleId="Prrafodelista">
    <w:name w:val="List Paragraph"/>
    <w:basedOn w:val="Normal"/>
    <w:uiPriority w:val="34"/>
    <w:qFormat/>
    <w:rsid w:val="00346074"/>
    <w:pPr>
      <w:spacing w:after="200" w:line="276" w:lineRule="auto"/>
      <w:ind w:left="720"/>
      <w:contextualSpacing/>
    </w:pPr>
    <w:rPr>
      <w:rFonts w:eastAsia="Calibri"/>
      <w:sz w:val="22"/>
      <w:szCs w:val="22"/>
    </w:rPr>
  </w:style>
  <w:style w:type="character" w:customStyle="1" w:styleId="hit">
    <w:name w:val="hit"/>
    <w:basedOn w:val="Fuentedeprrafopredeter"/>
    <w:rsid w:val="00140466"/>
  </w:style>
  <w:style w:type="table" w:styleId="Tablaconcuadrcula">
    <w:name w:val="Table Grid"/>
    <w:basedOn w:val="Tablanormal"/>
    <w:uiPriority w:val="39"/>
    <w:rsid w:val="001166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227F7"/>
    <w:rPr>
      <w:rFonts w:ascii="Segoe UI" w:hAnsi="Segoe UI" w:cs="Segoe UI"/>
      <w:sz w:val="18"/>
      <w:szCs w:val="18"/>
    </w:rPr>
  </w:style>
  <w:style w:type="character" w:customStyle="1" w:styleId="TextodegloboCar">
    <w:name w:val="Texto de globo Car"/>
    <w:link w:val="Textodeglobo"/>
    <w:uiPriority w:val="99"/>
    <w:semiHidden/>
    <w:rsid w:val="008227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4972</Words>
  <Characters>27348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Guzmán Cajas, Edwin Fernando</cp:lastModifiedBy>
  <cp:revision>7</cp:revision>
  <dcterms:created xsi:type="dcterms:W3CDTF">2023-04-28T13:21:00Z</dcterms:created>
  <dcterms:modified xsi:type="dcterms:W3CDTF">2023-09-04T22:56:00Z</dcterms:modified>
</cp:coreProperties>
</file>